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FE3A9D" w:rsidRDefault="006F33A0">
      <w:pPr>
        <w:pStyle w:val="aa"/>
        <w:spacing w:before="0" w:beforeAutospacing="0" w:after="0" w:afterAutospacing="0" w:line="450" w:lineRule="atLeast"/>
        <w:jc w:val="center"/>
        <w:rPr>
          <w:sz w:val="21"/>
          <w:szCs w:val="21"/>
        </w:rPr>
      </w:pPr>
      <w:r>
        <w:rPr>
          <w:noProof/>
        </w:rPr>
        <w:drawing>
          <wp:inline distT="0" distB="0" distL="0" distR="0">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FE3A9D" w:rsidRDefault="006F33A0">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sidR="00194988" w:rsidRPr="00194988">
        <w:rPr>
          <w:rStyle w:val="ac"/>
          <w:color w:val="333333"/>
          <w:sz w:val="28"/>
          <w:szCs w:val="28"/>
          <w:u w:val="single"/>
          <w:shd w:val="clear" w:color="auto" w:fill="FFFFFF"/>
        </w:rPr>
        <w:t>武汉工商学院BRAS</w:t>
      </w:r>
      <w:r w:rsidR="00194988">
        <w:rPr>
          <w:rStyle w:val="ac"/>
          <w:color w:val="333333"/>
          <w:sz w:val="28"/>
          <w:szCs w:val="28"/>
          <w:u w:val="single"/>
          <w:shd w:val="clear" w:color="auto" w:fill="FFFFFF"/>
        </w:rPr>
        <w:t>设备、认证系统采购项目</w:t>
      </w:r>
      <w:r>
        <w:rPr>
          <w:rStyle w:val="ac"/>
          <w:rFonts w:hint="eastAsia"/>
          <w:color w:val="333333"/>
          <w:sz w:val="28"/>
          <w:szCs w:val="28"/>
          <w:u w:val="single"/>
          <w:shd w:val="clear" w:color="auto" w:fill="FFFFFF"/>
        </w:rPr>
        <w:t xml:space="preserve">  </w:t>
      </w:r>
    </w:p>
    <w:p w:rsidR="00FE3A9D" w:rsidRDefault="006F33A0">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G2025-</w:t>
      </w:r>
      <w:r w:rsidR="00C23F50">
        <w:rPr>
          <w:rStyle w:val="ac"/>
          <w:rFonts w:hint="eastAsia"/>
          <w:color w:val="333333"/>
          <w:sz w:val="28"/>
          <w:szCs w:val="28"/>
          <w:u w:val="single"/>
          <w:shd w:val="clear" w:color="auto" w:fill="FFFFFF"/>
        </w:rPr>
        <w:t>1</w:t>
      </w:r>
      <w:r w:rsidR="00194988">
        <w:rPr>
          <w:rStyle w:val="ac"/>
          <w:rFonts w:hint="eastAsia"/>
          <w:color w:val="333333"/>
          <w:sz w:val="28"/>
          <w:szCs w:val="28"/>
          <w:u w:val="single"/>
          <w:shd w:val="clear" w:color="auto" w:fill="FFFFFF"/>
        </w:rPr>
        <w:t>6</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FE3A9D" w:rsidRDefault="006F33A0">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FE3A9D" w:rsidRDefault="006F33A0">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FE3A9D" w:rsidRDefault="006F33A0">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二○二五年</w:t>
      </w:r>
      <w:r w:rsidR="00F12886">
        <w:rPr>
          <w:rStyle w:val="ac"/>
          <w:rFonts w:hint="eastAsia"/>
          <w:color w:val="333333"/>
          <w:sz w:val="52"/>
          <w:szCs w:val="52"/>
          <w:shd w:val="clear" w:color="auto" w:fill="FFFFFF"/>
        </w:rPr>
        <w:t>六</w:t>
      </w:r>
      <w:r>
        <w:rPr>
          <w:rStyle w:val="ac"/>
          <w:rFonts w:hint="eastAsia"/>
          <w:color w:val="333333"/>
          <w:sz w:val="52"/>
          <w:szCs w:val="52"/>
          <w:shd w:val="clear" w:color="auto" w:fill="FFFFFF"/>
        </w:rPr>
        <w:t>月</w:t>
      </w: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94988" w:rsidRPr="00194988">
        <w:rPr>
          <w:rFonts w:ascii="仿宋" w:eastAsia="仿宋" w:hAnsi="仿宋"/>
          <w:sz w:val="24"/>
          <w:u w:val="single"/>
        </w:rPr>
        <w:t>武汉工商学院BRAS设备、认证系统采购项目</w:t>
      </w:r>
      <w:r>
        <w:rPr>
          <w:rFonts w:ascii="仿宋" w:eastAsia="仿宋" w:hAnsi="仿宋" w:hint="eastAsia"/>
          <w:sz w:val="24"/>
        </w:rPr>
        <w:t>招标，欢迎能满足标书要求的厂家前来投标。</w:t>
      </w:r>
    </w:p>
    <w:p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194988" w:rsidRPr="00194988">
        <w:rPr>
          <w:rFonts w:ascii="仿宋" w:eastAsia="仿宋" w:hAnsi="仿宋"/>
          <w:sz w:val="24"/>
          <w:u w:val="single"/>
        </w:rPr>
        <w:t>武汉工商学院BRAS设备、认证系统采购项目</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2025年</w:t>
      </w:r>
      <w:r w:rsidR="00F12886">
        <w:rPr>
          <w:rFonts w:ascii="仿宋" w:eastAsia="仿宋" w:hAnsi="仿宋" w:hint="eastAsia"/>
          <w:sz w:val="24"/>
        </w:rPr>
        <w:t>6</w:t>
      </w:r>
      <w:r>
        <w:rPr>
          <w:rFonts w:ascii="仿宋" w:eastAsia="仿宋" w:hAnsi="仿宋" w:hint="eastAsia"/>
          <w:sz w:val="24"/>
        </w:rPr>
        <w:t>月</w:t>
      </w:r>
      <w:r w:rsidR="00F12886">
        <w:rPr>
          <w:rFonts w:ascii="仿宋" w:eastAsia="仿宋" w:hAnsi="仿宋" w:hint="eastAsia"/>
          <w:sz w:val="24"/>
        </w:rPr>
        <w:t>3</w:t>
      </w:r>
      <w:r w:rsidR="00FF73AE">
        <w:rPr>
          <w:rFonts w:ascii="仿宋" w:eastAsia="仿宋" w:hAnsi="仿宋" w:hint="eastAsia"/>
          <w:sz w:val="24"/>
        </w:rPr>
        <w:t>0</w:t>
      </w:r>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8D2F21">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C23F50">
        <w:rPr>
          <w:rFonts w:ascii="仿宋" w:eastAsia="仿宋" w:hAnsi="仿宋" w:hint="eastAsia"/>
          <w:sz w:val="24"/>
          <w:u w:val="single"/>
        </w:rPr>
        <w:t>壹</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投标单位于2025年  月  日，将投标文件交到武汉工商学院招投标办公室。如有延误，视为废标；中标单位应在我校规定的时间内来签订合同，逾期视中标单位放弃中标，我校有权扣留保证金。</w:t>
      </w:r>
    </w:p>
    <w:p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w:t>
      </w:r>
      <w:r w:rsidR="00F12886">
        <w:rPr>
          <w:rFonts w:ascii="仿宋" w:eastAsia="仿宋" w:hAnsi="仿宋" w:hint="eastAsia"/>
          <w:sz w:val="24"/>
        </w:rPr>
        <w:t>陈</w:t>
      </w:r>
      <w:r w:rsidR="00194988">
        <w:rPr>
          <w:rFonts w:ascii="仿宋" w:eastAsia="仿宋" w:hAnsi="仿宋" w:hint="eastAsia"/>
          <w:sz w:val="24"/>
        </w:rPr>
        <w:t>主任</w:t>
      </w:r>
      <w:r>
        <w:rPr>
          <w:rFonts w:ascii="仿宋" w:eastAsia="仿宋" w:hAnsi="仿宋" w:hint="eastAsia"/>
          <w:sz w:val="24"/>
        </w:rPr>
        <w:t xml:space="preserve">  </w:t>
      </w:r>
      <w:r w:rsidR="00F12886">
        <w:rPr>
          <w:rFonts w:ascii="仿宋" w:eastAsia="仿宋" w:hAnsi="仿宋" w:hint="eastAsia"/>
          <w:sz w:val="24"/>
        </w:rPr>
        <w:t>18907123318</w:t>
      </w:r>
    </w:p>
    <w:p w:rsidR="00A41939" w:rsidRDefault="00A41939">
      <w:pPr>
        <w:spacing w:line="440" w:lineRule="exact"/>
        <w:jc w:val="center"/>
        <w:rPr>
          <w:rFonts w:ascii="仿宋" w:eastAsia="仿宋" w:hAnsi="仿宋"/>
          <w:b/>
          <w:sz w:val="32"/>
          <w:szCs w:val="32"/>
        </w:rPr>
      </w:pPr>
    </w:p>
    <w:p w:rsidR="00A41939" w:rsidRDefault="00A41939">
      <w:pPr>
        <w:spacing w:line="440" w:lineRule="exact"/>
        <w:jc w:val="center"/>
        <w:rPr>
          <w:rFonts w:ascii="仿宋" w:eastAsia="仿宋" w:hAnsi="仿宋"/>
          <w:b/>
          <w:sz w:val="32"/>
          <w:szCs w:val="32"/>
        </w:rPr>
      </w:pP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w:t>
      </w:r>
      <w:r w:rsidR="00194988">
        <w:rPr>
          <w:rFonts w:ascii="仿宋" w:eastAsia="仿宋" w:hAnsi="仿宋" w:hint="eastAsia"/>
          <w:sz w:val="24"/>
        </w:rPr>
        <w:t>肆</w:t>
      </w:r>
      <w:r>
        <w:rPr>
          <w:rFonts w:ascii="仿宋" w:eastAsia="仿宋" w:hAnsi="仿宋" w:hint="eastAsia"/>
          <w:sz w:val="24"/>
        </w:rPr>
        <w:t>份。如副本内容与正本内容不符，则以正本为准（投标完后，标书概不退还）；</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FE3A9D" w:rsidRDefault="00FE3A9D"/>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rsidR="00FE3A9D" w:rsidRDefault="006F33A0">
      <w:pPr>
        <w:spacing w:line="440" w:lineRule="exact"/>
        <w:jc w:val="center"/>
        <w:rPr>
          <w:rFonts w:ascii="仿宋" w:eastAsia="仿宋" w:hAnsi="仿宋" w:hint="eastAsia"/>
          <w:b/>
          <w:sz w:val="32"/>
          <w:szCs w:val="32"/>
        </w:rPr>
      </w:pPr>
      <w:r>
        <w:rPr>
          <w:rFonts w:ascii="仿宋" w:eastAsia="仿宋" w:hAnsi="仿宋" w:hint="eastAsia"/>
          <w:b/>
          <w:sz w:val="32"/>
          <w:szCs w:val="32"/>
        </w:rPr>
        <w:lastRenderedPageBreak/>
        <w:t>第三部分 技术要求</w:t>
      </w:r>
    </w:p>
    <w:p w:rsidR="00194988" w:rsidRPr="00194988" w:rsidRDefault="00194988" w:rsidP="00194988">
      <w:pPr>
        <w:spacing w:line="440" w:lineRule="exact"/>
        <w:ind w:firstLineChars="200" w:firstLine="482"/>
        <w:rPr>
          <w:rFonts w:ascii="仿宋" w:eastAsia="仿宋" w:hAnsi="仿宋"/>
          <w:b/>
          <w:sz w:val="24"/>
          <w:szCs w:val="24"/>
        </w:rPr>
      </w:pPr>
      <w:r w:rsidRPr="00194988">
        <w:rPr>
          <w:rFonts w:ascii="仿宋" w:eastAsia="仿宋" w:hAnsi="仿宋" w:hint="eastAsia"/>
          <w:b/>
          <w:sz w:val="24"/>
          <w:szCs w:val="24"/>
        </w:rPr>
        <w:t>一、项目需求：</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本次项目建设内容主要分为全校网络架构梳理、终端资产梳理和终端管理平台建设三部分：</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1.全校网络架构做相关梳理，记录交换机信息、各类型终端资产信息，其中交换机信息包括配置信息、端口对应网络和对应物理位置，终端信息包括设备类型、物理地址和所属位置信息。梳理完成后输出配套全校网络架构图，精确到每个楼层接入交换设备，并对接入区域网络做相关整改优化建议，并配合网络设备架构优化和整改。</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2.梳理全校IT终端资产数据，记录全类型终端MAC地址、位置、种类、所属部门和人等信息。</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3.搭建终端安全管理平台，部署硬件BRAS设备和软件认证平台。并根据调研的信息，确定全校各学院/部门访问权限要求、设备入网方式、终端身份关联、控制策略等信息在平台做相关上线配置，保障终端顺利上线和网络正常访问。</w:t>
      </w:r>
    </w:p>
    <w:p w:rsidR="00194988" w:rsidRPr="00194988" w:rsidRDefault="00194988" w:rsidP="00194988">
      <w:pPr>
        <w:spacing w:line="440" w:lineRule="exact"/>
        <w:ind w:firstLineChars="200" w:firstLine="482"/>
        <w:rPr>
          <w:rFonts w:ascii="仿宋" w:eastAsia="仿宋" w:hAnsi="仿宋"/>
          <w:b/>
          <w:sz w:val="24"/>
          <w:szCs w:val="24"/>
        </w:rPr>
      </w:pPr>
      <w:r w:rsidRPr="00194988">
        <w:rPr>
          <w:rFonts w:ascii="仿宋" w:eastAsia="仿宋" w:hAnsi="仿宋" w:hint="eastAsia"/>
          <w:b/>
          <w:sz w:val="24"/>
          <w:szCs w:val="24"/>
        </w:rPr>
        <w:t>二、预期目标</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 xml:space="preserve">通过本次建设提升全校网络、终端资产精细化管理水平，构建从云、网、端全方面管理能力，补齐校园网接入安全短板，提升管理效率。  </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1.实现人网、物网一张网，一体化管理</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利用大二层结构，实现大网段接入。哑终端设备可以在办公网、学生网、有线、无线、哑终端等各类网络中进行融合接入。利用统一集中的管控平台，基于终端接入身份，实现区域、业务划分，实现全网全终端一体化接入管控。</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2.基于终端身份认证，安全准入</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终端接入管理改变以往常用的固定IP+MAC的入网身份管理模式，改为无感知认证接入方式的身份认证体系。物联终端实现基于设备指纹信息的终端精准身份识别，建立入网身份自动化管理体系。采用基于身份认证的网络准入接入，使不具备网络身份的哑终端设备接入网络后无法访问任何网络资源。从根本上阻断非法接入、违规接入等网络安全隐患。</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3.极简精细化访问权限管理</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访问权限基于用户身份的网络控制，实现人员、终端权限固定化。运维人员不再需要频繁调整网络权限。针对业务部门快速变化的业务需求，将设备的访问权限进行有限下放，使各部门能够自主快速响应自身业务需求。</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lastRenderedPageBreak/>
        <w:t>4.建立极简运维管理体系</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配置管理图形化，人性化，易于快速上手使用。给网络管理人员的引进和快速进行状态提供支撑手段。</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5.违规外联、内联及网络病毒管控</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高强度终端安全管理，实时检测终端与外网的联接，实现事前预防，事中阻断、事后溯源，全方位防控外联行为，系统可以通过服务器统一设置策略，并提供断网、隔离、警告、上报、告警等多种手段增强管理。</w:t>
      </w:r>
    </w:p>
    <w:p w:rsidR="00194988" w:rsidRPr="00194988" w:rsidRDefault="00194988" w:rsidP="00194988">
      <w:pPr>
        <w:spacing w:line="440" w:lineRule="exact"/>
        <w:ind w:firstLineChars="200" w:firstLine="480"/>
        <w:rPr>
          <w:rFonts w:ascii="仿宋" w:eastAsia="仿宋" w:hAnsi="仿宋"/>
          <w:sz w:val="24"/>
          <w:szCs w:val="24"/>
        </w:rPr>
      </w:pPr>
      <w:r w:rsidRPr="00194988">
        <w:rPr>
          <w:rFonts w:ascii="仿宋" w:eastAsia="仿宋" w:hAnsi="仿宋" w:hint="eastAsia"/>
          <w:sz w:val="24"/>
          <w:szCs w:val="24"/>
        </w:rPr>
        <w:t>6.统一资产台账，全终端状态感知，网络业务大屏展示</w:t>
      </w:r>
    </w:p>
    <w:p w:rsidR="00194988" w:rsidRPr="00194988" w:rsidRDefault="00194988" w:rsidP="00194988">
      <w:pPr>
        <w:spacing w:line="440" w:lineRule="exact"/>
        <w:rPr>
          <w:rFonts w:ascii="仿宋" w:eastAsia="仿宋" w:hAnsi="仿宋"/>
          <w:sz w:val="24"/>
          <w:szCs w:val="24"/>
        </w:rPr>
      </w:pPr>
      <w:r w:rsidRPr="00194988">
        <w:rPr>
          <w:rFonts w:ascii="仿宋" w:eastAsia="仿宋" w:hAnsi="仿宋" w:hint="eastAsia"/>
          <w:sz w:val="24"/>
          <w:szCs w:val="24"/>
        </w:rPr>
        <w:t>建立网络设备统一资产台账，所有入网终端的账号、厂商、型号、所属关系、部署位置等等资产信息全部记录在册，可随时查询、分析，还可根据业务具体需求实现统计信息模板化，快速统计需要关心的整体资产状态。</w:t>
      </w:r>
    </w:p>
    <w:p w:rsidR="00194988" w:rsidRPr="00194988" w:rsidRDefault="00194988" w:rsidP="00194988">
      <w:pPr>
        <w:spacing w:line="440" w:lineRule="exact"/>
        <w:rPr>
          <w:rFonts w:ascii="仿宋" w:eastAsia="仿宋" w:hAnsi="仿宋"/>
          <w:b/>
          <w:sz w:val="24"/>
          <w:szCs w:val="24"/>
        </w:rPr>
      </w:pPr>
      <w:r w:rsidRPr="00194988">
        <w:rPr>
          <w:rFonts w:ascii="仿宋" w:eastAsia="仿宋" w:hAnsi="仿宋" w:hint="eastAsia"/>
          <w:b/>
          <w:sz w:val="24"/>
          <w:szCs w:val="24"/>
        </w:rPr>
        <w:t>三、bras设备要求</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413"/>
        <w:gridCol w:w="7699"/>
      </w:tblGrid>
      <w:tr w:rsidR="00194988" w:rsidRPr="00194988" w:rsidTr="00D30928">
        <w:tc>
          <w:tcPr>
            <w:tcW w:w="1413" w:type="dxa"/>
            <w:shd w:val="clear" w:color="auto" w:fill="auto"/>
          </w:tcPr>
          <w:p w:rsidR="00194988" w:rsidRPr="00194988" w:rsidRDefault="00194988" w:rsidP="00D30928">
            <w:pPr>
              <w:autoSpaceDE w:val="0"/>
              <w:autoSpaceDN w:val="0"/>
              <w:adjustRightInd w:val="0"/>
              <w:spacing w:line="360" w:lineRule="auto"/>
              <w:ind w:left="108" w:right="108"/>
              <w:jc w:val="center"/>
              <w:rPr>
                <w:rFonts w:ascii="仿宋" w:eastAsia="仿宋" w:hAnsi="仿宋" w:cs="楷体_GB2312"/>
                <w:b/>
                <w:bCs/>
                <w:kern w:val="0"/>
                <w:sz w:val="24"/>
                <w:szCs w:val="24"/>
              </w:rPr>
            </w:pPr>
            <w:r w:rsidRPr="00194988">
              <w:rPr>
                <w:rFonts w:ascii="仿宋" w:eastAsia="仿宋" w:hAnsi="仿宋" w:cs="楷体_GB2312" w:hint="eastAsia"/>
                <w:b/>
                <w:bCs/>
                <w:kern w:val="0"/>
                <w:sz w:val="24"/>
                <w:szCs w:val="24"/>
              </w:rPr>
              <w:t>指标项</w:t>
            </w:r>
          </w:p>
        </w:tc>
        <w:tc>
          <w:tcPr>
            <w:tcW w:w="7699" w:type="dxa"/>
            <w:shd w:val="clear" w:color="auto" w:fill="auto"/>
          </w:tcPr>
          <w:p w:rsidR="00194988" w:rsidRPr="00194988" w:rsidRDefault="00194988" w:rsidP="00D30928">
            <w:pPr>
              <w:autoSpaceDE w:val="0"/>
              <w:autoSpaceDN w:val="0"/>
              <w:adjustRightInd w:val="0"/>
              <w:spacing w:line="360" w:lineRule="auto"/>
              <w:ind w:left="15" w:right="108"/>
              <w:jc w:val="center"/>
              <w:rPr>
                <w:rFonts w:ascii="仿宋" w:eastAsia="仿宋" w:hAnsi="仿宋" w:cs="楷体_GB2312"/>
                <w:b/>
                <w:bCs/>
                <w:kern w:val="0"/>
                <w:sz w:val="24"/>
                <w:szCs w:val="24"/>
              </w:rPr>
            </w:pPr>
            <w:r w:rsidRPr="00194988">
              <w:rPr>
                <w:rFonts w:ascii="仿宋" w:eastAsia="仿宋" w:hAnsi="仿宋" w:cs="楷体_GB2312" w:hint="eastAsia"/>
                <w:b/>
                <w:bCs/>
                <w:kern w:val="0"/>
                <w:sz w:val="24"/>
                <w:szCs w:val="24"/>
              </w:rPr>
              <w:t>参数要求</w:t>
            </w:r>
          </w:p>
        </w:tc>
      </w:tr>
      <w:tr w:rsidR="00194988" w:rsidRPr="00194988" w:rsidTr="00D30928">
        <w:trPr>
          <w:trHeight w:val="358"/>
        </w:trPr>
        <w:tc>
          <w:tcPr>
            <w:tcW w:w="1413" w:type="dxa"/>
            <w:vMerge w:val="restart"/>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楷体_GB2312"/>
                <w:kern w:val="0"/>
                <w:sz w:val="24"/>
                <w:szCs w:val="24"/>
                <w:highlight w:val="yellow"/>
              </w:rPr>
            </w:pPr>
            <w:r w:rsidRPr="00194988">
              <w:rPr>
                <w:rFonts w:ascii="仿宋" w:eastAsia="仿宋" w:hAnsi="仿宋" w:cs="宋体" w:hint="eastAsia"/>
                <w:kern w:val="0"/>
                <w:sz w:val="24"/>
                <w:szCs w:val="24"/>
              </w:rPr>
              <w:t>硬件性能规格参数</w:t>
            </w:r>
          </w:p>
        </w:tc>
        <w:tc>
          <w:tcPr>
            <w:tcW w:w="7699" w:type="dxa"/>
            <w:shd w:val="clear" w:color="auto" w:fill="auto"/>
            <w:vAlign w:val="center"/>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吞吐量 ≥40G</w:t>
            </w:r>
          </w:p>
        </w:tc>
      </w:tr>
      <w:tr w:rsidR="00194988" w:rsidRPr="00194988" w:rsidTr="00D30928">
        <w:trPr>
          <w:trHeight w:val="358"/>
        </w:trPr>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vAlign w:val="center"/>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并发连接数 ≥300万</w:t>
            </w:r>
          </w:p>
        </w:tc>
      </w:tr>
      <w:tr w:rsidR="00194988" w:rsidRPr="00194988" w:rsidTr="00D30928">
        <w:trPr>
          <w:trHeight w:val="358"/>
        </w:trPr>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vAlign w:val="center"/>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每秒新建连接数 ≥</w:t>
            </w:r>
            <w:r w:rsidRPr="00194988">
              <w:rPr>
                <w:rFonts w:ascii="仿宋" w:eastAsia="仿宋" w:hAnsi="仿宋" w:cs="Times New Roman" w:hint="eastAsia"/>
                <w:color w:val="000000"/>
                <w:sz w:val="24"/>
                <w:szCs w:val="24"/>
              </w:rPr>
              <w:t>20万/秒</w:t>
            </w:r>
          </w:p>
        </w:tc>
      </w:tr>
      <w:tr w:rsidR="00194988" w:rsidRPr="00194988" w:rsidTr="00D30928">
        <w:trPr>
          <w:trHeight w:val="375"/>
        </w:trPr>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vAlign w:val="center"/>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Times New Roman" w:hint="eastAsia"/>
                <w:color w:val="000000"/>
                <w:sz w:val="24"/>
                <w:szCs w:val="24"/>
              </w:rPr>
              <w:t>单台并发用户授权IP数</w:t>
            </w:r>
            <w:r w:rsidRPr="00194988">
              <w:rPr>
                <w:rFonts w:ascii="仿宋" w:eastAsia="仿宋" w:hAnsi="仿宋" w:cs="Times New Roman" w:hint="eastAsia"/>
                <w:sz w:val="24"/>
                <w:szCs w:val="24"/>
              </w:rPr>
              <w:t>≥</w:t>
            </w:r>
            <w:r w:rsidRPr="00194988">
              <w:rPr>
                <w:rFonts w:ascii="仿宋" w:eastAsia="仿宋" w:hAnsi="仿宋" w:cs="Times New Roman" w:hint="eastAsia"/>
                <w:color w:val="000000"/>
                <w:sz w:val="24"/>
                <w:szCs w:val="24"/>
              </w:rPr>
              <w:t>1万</w:t>
            </w:r>
          </w:p>
        </w:tc>
      </w:tr>
      <w:tr w:rsidR="00194988" w:rsidRPr="00194988" w:rsidTr="00D30928">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vAlign w:val="center"/>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网络接口：≥2*千兆电口；≥8*万兆光口</w:t>
            </w:r>
          </w:p>
        </w:tc>
      </w:tr>
      <w:tr w:rsidR="00194988" w:rsidRPr="00194988" w:rsidTr="00D30928">
        <w:tc>
          <w:tcPr>
            <w:tcW w:w="1413" w:type="dxa"/>
            <w:vMerge w:val="restart"/>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r w:rsidRPr="00194988">
              <w:rPr>
                <w:rFonts w:ascii="仿宋" w:eastAsia="仿宋" w:hAnsi="仿宋" w:cs="Times New Roman" w:hint="eastAsia"/>
                <w:sz w:val="24"/>
                <w:szCs w:val="24"/>
                <w:lang w:val="zh-CN"/>
              </w:rPr>
              <w:t>以太网二层协议</w:t>
            </w: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二层协议透传</w:t>
            </w:r>
          </w:p>
        </w:tc>
      </w:tr>
      <w:tr w:rsidR="00194988" w:rsidRPr="00194988" w:rsidTr="00D30928">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静态、动态LACP链路聚合</w:t>
            </w:r>
          </w:p>
        </w:tc>
      </w:tr>
      <w:tr w:rsidR="00194988" w:rsidRPr="00194988" w:rsidTr="00D30928">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VLAN、TRUNK</w:t>
            </w:r>
          </w:p>
        </w:tc>
      </w:tr>
      <w:tr w:rsidR="00194988" w:rsidRPr="00194988" w:rsidTr="00D30928">
        <w:trPr>
          <w:trHeight w:val="283"/>
        </w:trPr>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QINQ</w:t>
            </w:r>
          </w:p>
        </w:tc>
      </w:tr>
      <w:tr w:rsidR="00194988" w:rsidRPr="00194988" w:rsidTr="00D30928">
        <w:trPr>
          <w:trHeight w:val="283"/>
        </w:trPr>
        <w:tc>
          <w:tcPr>
            <w:tcW w:w="1413"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r w:rsidRPr="00194988">
              <w:rPr>
                <w:rFonts w:ascii="仿宋" w:eastAsia="仿宋" w:hAnsi="仿宋" w:cs="Times New Roman" w:hint="eastAsia"/>
                <w:sz w:val="24"/>
                <w:szCs w:val="24"/>
                <w:lang w:val="zh-CN"/>
              </w:rPr>
              <w:t>认证协议</w:t>
            </w: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支持MAC、Portal、802.1x、PPPoE等认证协议</w:t>
            </w:r>
          </w:p>
        </w:tc>
      </w:tr>
      <w:tr w:rsidR="00194988" w:rsidRPr="00194988" w:rsidTr="00D30928">
        <w:trPr>
          <w:trHeight w:val="708"/>
        </w:trPr>
        <w:tc>
          <w:tcPr>
            <w:tcW w:w="1413"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rPr>
            </w:pPr>
            <w:r w:rsidRPr="00194988">
              <w:rPr>
                <w:rFonts w:ascii="仿宋" w:eastAsia="仿宋" w:hAnsi="仿宋" w:cs="宋体" w:hint="eastAsia"/>
                <w:kern w:val="0"/>
                <w:sz w:val="24"/>
                <w:szCs w:val="24"/>
              </w:rPr>
              <w:t>VLAN与IP解耦</w:t>
            </w: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Times New Roman" w:hint="eastAsia"/>
                <w:sz w:val="24"/>
                <w:szCs w:val="24"/>
                <w:lang w:val="zh-CN"/>
              </w:rPr>
              <w:t>★</w:t>
            </w:r>
            <w:r w:rsidRPr="00194988">
              <w:rPr>
                <w:rFonts w:ascii="仿宋" w:eastAsia="仿宋" w:hAnsi="仿宋" w:cs="宋体" w:hint="eastAsia"/>
                <w:kern w:val="0"/>
                <w:sz w:val="24"/>
                <w:szCs w:val="24"/>
              </w:rPr>
              <w:t>支持VLAN与IP地址解耦，相同VLAN下允许多段IP地址同时接入。（提供盖厂商公章的功能截图）</w:t>
            </w:r>
          </w:p>
        </w:tc>
      </w:tr>
      <w:tr w:rsidR="00194988" w:rsidRPr="00194988" w:rsidTr="00D30928">
        <w:tc>
          <w:tcPr>
            <w:tcW w:w="1413" w:type="dxa"/>
            <w:vMerge w:val="restart"/>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r w:rsidRPr="00194988">
              <w:rPr>
                <w:rFonts w:ascii="仿宋" w:eastAsia="仿宋" w:hAnsi="仿宋" w:cs="Times New Roman" w:hint="eastAsia"/>
                <w:sz w:val="24"/>
                <w:szCs w:val="24"/>
                <w:lang w:val="zh-CN"/>
              </w:rPr>
              <w:t>路由功能要求</w:t>
            </w:r>
          </w:p>
        </w:tc>
        <w:tc>
          <w:tcPr>
            <w:tcW w:w="7699"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宋体"/>
                <w:kern w:val="0"/>
                <w:sz w:val="24"/>
                <w:szCs w:val="24"/>
              </w:rPr>
            </w:pPr>
            <w:r w:rsidRPr="00194988">
              <w:rPr>
                <w:rFonts w:ascii="仿宋" w:eastAsia="仿宋" w:hAnsi="仿宋" w:cs="宋体" w:hint="eastAsia"/>
                <w:kern w:val="0"/>
                <w:sz w:val="24"/>
                <w:szCs w:val="24"/>
              </w:rPr>
              <w:t>支持静态路由、RIP、OSPF、策略路由</w:t>
            </w:r>
          </w:p>
        </w:tc>
      </w:tr>
      <w:tr w:rsidR="00194988" w:rsidRPr="00194988" w:rsidTr="00D30928">
        <w:trPr>
          <w:trHeight w:val="300"/>
        </w:trPr>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p>
        </w:tc>
        <w:tc>
          <w:tcPr>
            <w:tcW w:w="7699"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宋体"/>
                <w:kern w:val="0"/>
                <w:sz w:val="24"/>
                <w:szCs w:val="24"/>
              </w:rPr>
            </w:pPr>
            <w:r w:rsidRPr="00194988">
              <w:rPr>
                <w:rFonts w:ascii="仿宋" w:eastAsia="仿宋" w:hAnsi="仿宋" w:cs="宋体" w:hint="eastAsia"/>
                <w:kern w:val="0"/>
                <w:sz w:val="24"/>
                <w:szCs w:val="24"/>
              </w:rPr>
              <w:t>支持IPv4、IPv6接入</w:t>
            </w:r>
          </w:p>
        </w:tc>
      </w:tr>
      <w:tr w:rsidR="00194988" w:rsidRPr="00194988" w:rsidTr="00D30928">
        <w:tc>
          <w:tcPr>
            <w:tcW w:w="1413"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lang w:val="zh-CN"/>
              </w:rPr>
            </w:pPr>
            <w:r w:rsidRPr="00194988">
              <w:rPr>
                <w:rFonts w:ascii="仿宋" w:eastAsia="仿宋" w:hAnsi="仿宋" w:cs="Times New Roman" w:hint="eastAsia"/>
                <w:sz w:val="24"/>
                <w:szCs w:val="24"/>
                <w:lang w:val="zh-CN"/>
              </w:rPr>
              <w:t>QoS流量控制</w:t>
            </w:r>
          </w:p>
        </w:tc>
        <w:tc>
          <w:tcPr>
            <w:tcW w:w="7699" w:type="dxa"/>
            <w:shd w:val="clear" w:color="auto" w:fill="auto"/>
            <w:vAlign w:val="center"/>
          </w:tcPr>
          <w:p w:rsidR="00194988" w:rsidRPr="00194988" w:rsidRDefault="00194988" w:rsidP="00D30928">
            <w:pPr>
              <w:autoSpaceDE w:val="0"/>
              <w:autoSpaceDN w:val="0"/>
              <w:adjustRightInd w:val="0"/>
              <w:spacing w:line="360" w:lineRule="auto"/>
              <w:ind w:left="15"/>
              <w:rPr>
                <w:rFonts w:ascii="仿宋" w:eastAsia="仿宋" w:hAnsi="仿宋" w:cs="宋体"/>
                <w:kern w:val="0"/>
                <w:sz w:val="24"/>
                <w:szCs w:val="24"/>
              </w:rPr>
            </w:pPr>
            <w:r w:rsidRPr="00194988">
              <w:rPr>
                <w:rFonts w:ascii="仿宋" w:eastAsia="仿宋" w:hAnsi="仿宋" w:cs="Times New Roman" w:hint="eastAsia"/>
                <w:sz w:val="24"/>
                <w:szCs w:val="24"/>
                <w:lang w:val="zh-CN"/>
              </w:rPr>
              <w:t>★支持流量控制功能，策略可以基于智能、手动流量控制策略，实现网络链路流量上下行带宽限制。支持按照不同种类应用类型进行分类限制。（提供盖厂商公章的功能承诺函）</w:t>
            </w:r>
          </w:p>
        </w:tc>
      </w:tr>
      <w:tr w:rsidR="00194988" w:rsidRPr="00194988" w:rsidTr="00D30928">
        <w:trPr>
          <w:trHeight w:val="694"/>
        </w:trPr>
        <w:tc>
          <w:tcPr>
            <w:tcW w:w="1413"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rPr>
            </w:pPr>
            <w:r w:rsidRPr="00194988">
              <w:rPr>
                <w:rFonts w:ascii="仿宋" w:eastAsia="仿宋" w:hAnsi="仿宋" w:cs="Times New Roman" w:hint="eastAsia"/>
                <w:sz w:val="24"/>
                <w:szCs w:val="24"/>
              </w:rPr>
              <w:lastRenderedPageBreak/>
              <w:t>功能要求</w:t>
            </w:r>
          </w:p>
        </w:tc>
        <w:tc>
          <w:tcPr>
            <w:tcW w:w="7699"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宋体"/>
                <w:kern w:val="0"/>
                <w:sz w:val="24"/>
                <w:szCs w:val="24"/>
              </w:rPr>
            </w:pPr>
            <w:r w:rsidRPr="00194988">
              <w:rPr>
                <w:rFonts w:ascii="仿宋" w:eastAsia="仿宋" w:hAnsi="仿宋" w:cs="宋体" w:hint="eastAsia"/>
                <w:kern w:val="0"/>
                <w:sz w:val="24"/>
                <w:szCs w:val="24"/>
              </w:rPr>
              <w:t>支持内网隔离准入功能，实现基于网络身份对处于相同或不同网段的任意入网终端间的访问隔离及访问控制功能。</w:t>
            </w:r>
          </w:p>
        </w:tc>
      </w:tr>
      <w:tr w:rsidR="00194988" w:rsidRPr="00194988" w:rsidTr="00D30928">
        <w:tc>
          <w:tcPr>
            <w:tcW w:w="1413" w:type="dxa"/>
            <w:vMerge w:val="restart"/>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rPr>
            </w:pPr>
            <w:r w:rsidRPr="00194988">
              <w:rPr>
                <w:rFonts w:ascii="仿宋" w:eastAsia="仿宋" w:hAnsi="仿宋" w:cs="Times New Roman" w:hint="eastAsia"/>
                <w:sz w:val="24"/>
                <w:szCs w:val="24"/>
              </w:rPr>
              <w:t>可靠性保障</w:t>
            </w: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硬件网关采支持用双机热备部署模式，当主设备故障或上下行链路中断时，网络业务能够快速被备机自动接管。</w:t>
            </w:r>
          </w:p>
        </w:tc>
      </w:tr>
      <w:tr w:rsidR="00194988" w:rsidRPr="00194988" w:rsidTr="00D30928">
        <w:tc>
          <w:tcPr>
            <w:tcW w:w="1413" w:type="dxa"/>
            <w:vMerge/>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rPr>
            </w:pP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Times New Roman" w:hint="eastAsia"/>
                <w:sz w:val="24"/>
                <w:szCs w:val="24"/>
                <w:lang w:val="zh-CN"/>
              </w:rPr>
              <w:t>满足整体系统运行安全性，要求</w:t>
            </w:r>
            <w:r w:rsidRPr="00194988">
              <w:rPr>
                <w:rFonts w:ascii="仿宋" w:eastAsia="仿宋" w:hAnsi="仿宋" w:cs="宋体" w:hint="eastAsia"/>
                <w:kern w:val="0"/>
                <w:sz w:val="24"/>
                <w:szCs w:val="24"/>
              </w:rPr>
              <w:t>主备状态下自动同步接入用户会话信息，主备切换时能够在秒级内实现用户业务复通。</w:t>
            </w:r>
          </w:p>
        </w:tc>
      </w:tr>
      <w:tr w:rsidR="00194988" w:rsidRPr="00194988" w:rsidTr="00D30928">
        <w:trPr>
          <w:trHeight w:val="313"/>
        </w:trPr>
        <w:tc>
          <w:tcPr>
            <w:tcW w:w="1413" w:type="dxa"/>
            <w:shd w:val="clear" w:color="auto" w:fill="auto"/>
          </w:tcPr>
          <w:p w:rsidR="00194988" w:rsidRPr="00194988" w:rsidRDefault="00194988" w:rsidP="00D30928">
            <w:pPr>
              <w:autoSpaceDE w:val="0"/>
              <w:autoSpaceDN w:val="0"/>
              <w:adjustRightInd w:val="0"/>
              <w:spacing w:line="360" w:lineRule="auto"/>
              <w:ind w:left="15"/>
              <w:rPr>
                <w:rFonts w:ascii="仿宋" w:eastAsia="仿宋" w:hAnsi="仿宋" w:cs="Times New Roman"/>
                <w:sz w:val="24"/>
                <w:szCs w:val="24"/>
              </w:rPr>
            </w:pPr>
            <w:r w:rsidRPr="00194988">
              <w:rPr>
                <w:rFonts w:ascii="仿宋" w:eastAsia="仿宋" w:hAnsi="仿宋" w:cs="Times New Roman" w:hint="eastAsia"/>
                <w:sz w:val="24"/>
                <w:szCs w:val="24"/>
              </w:rPr>
              <w:t>质保要求</w:t>
            </w:r>
          </w:p>
        </w:tc>
        <w:tc>
          <w:tcPr>
            <w:tcW w:w="7699" w:type="dxa"/>
            <w:shd w:val="clear" w:color="auto" w:fill="auto"/>
          </w:tcPr>
          <w:p w:rsidR="00194988" w:rsidRPr="00194988" w:rsidRDefault="00194988" w:rsidP="00D30928">
            <w:pPr>
              <w:autoSpaceDE w:val="0"/>
              <w:autoSpaceDN w:val="0"/>
              <w:adjustRightInd w:val="0"/>
              <w:spacing w:line="360" w:lineRule="auto"/>
              <w:rPr>
                <w:rFonts w:ascii="仿宋" w:eastAsia="仿宋" w:hAnsi="仿宋" w:cs="宋体"/>
                <w:kern w:val="0"/>
                <w:sz w:val="24"/>
                <w:szCs w:val="24"/>
              </w:rPr>
            </w:pPr>
            <w:r w:rsidRPr="00194988">
              <w:rPr>
                <w:rFonts w:ascii="仿宋" w:eastAsia="仿宋" w:hAnsi="仿宋" w:cs="宋体" w:hint="eastAsia"/>
                <w:kern w:val="0"/>
                <w:sz w:val="24"/>
                <w:szCs w:val="24"/>
              </w:rPr>
              <w:t>提供3年的软硬件质保，维保期内提供设备保修服务，保障客户设备出现的故障在最短时间内得到解决，迅速恢复设备的正常工作状态。在维保期内的客户出现故障后，免费提供备</w:t>
            </w:r>
            <w:bookmarkStart w:id="4" w:name="_GoBack"/>
            <w:bookmarkEnd w:id="4"/>
            <w:r w:rsidRPr="00194988">
              <w:rPr>
                <w:rFonts w:ascii="仿宋" w:eastAsia="仿宋" w:hAnsi="仿宋" w:cs="宋体" w:hint="eastAsia"/>
                <w:kern w:val="0"/>
                <w:sz w:val="24"/>
                <w:szCs w:val="24"/>
              </w:rPr>
              <w:t>件更换服务，故障后的设备和部件维修好后返还客户。（厂家出具的售后服务承诺函）</w:t>
            </w:r>
          </w:p>
        </w:tc>
      </w:tr>
    </w:tbl>
    <w:p w:rsidR="00194988" w:rsidRPr="00194988" w:rsidRDefault="00194988" w:rsidP="00194988">
      <w:pPr>
        <w:spacing w:line="440" w:lineRule="exact"/>
        <w:rPr>
          <w:rFonts w:ascii="仿宋" w:eastAsia="仿宋" w:hAnsi="仿宋"/>
          <w:sz w:val="24"/>
          <w:szCs w:val="24"/>
        </w:rPr>
      </w:pPr>
      <w:r w:rsidRPr="00194988">
        <w:rPr>
          <w:rFonts w:ascii="仿宋" w:eastAsia="仿宋" w:hAnsi="仿宋" w:hint="eastAsia"/>
          <w:sz w:val="24"/>
          <w:szCs w:val="24"/>
        </w:rPr>
        <w:t>四、认证系统要求</w:t>
      </w:r>
    </w:p>
    <w:tbl>
      <w:tblPr>
        <w:tblW w:w="52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66"/>
        <w:gridCol w:w="7562"/>
      </w:tblGrid>
      <w:tr w:rsidR="00194988" w:rsidRPr="00194988" w:rsidTr="00D30928">
        <w:trPr>
          <w:trHeight w:val="387"/>
        </w:trPr>
        <w:tc>
          <w:tcPr>
            <w:tcW w:w="812" w:type="pct"/>
            <w:shd w:val="clear" w:color="auto" w:fill="C0C0C0"/>
            <w:vAlign w:val="center"/>
          </w:tcPr>
          <w:p w:rsidR="00194988" w:rsidRPr="00194988" w:rsidRDefault="00194988" w:rsidP="00D30928">
            <w:pPr>
              <w:widowControl/>
              <w:spacing w:line="240" w:lineRule="exact"/>
              <w:jc w:val="center"/>
              <w:rPr>
                <w:rFonts w:ascii="仿宋" w:eastAsia="仿宋" w:hAnsi="仿宋" w:cs="宋体"/>
                <w:b/>
                <w:bCs/>
                <w:color w:val="000000"/>
                <w:sz w:val="24"/>
                <w:szCs w:val="24"/>
              </w:rPr>
            </w:pPr>
            <w:r w:rsidRPr="00194988">
              <w:rPr>
                <w:rFonts w:ascii="仿宋" w:eastAsia="仿宋" w:hAnsi="仿宋" w:cs="宋体" w:hint="eastAsia"/>
                <w:b/>
                <w:bCs/>
                <w:color w:val="000000"/>
                <w:sz w:val="24"/>
                <w:szCs w:val="24"/>
              </w:rPr>
              <w:t>项目</w:t>
            </w:r>
          </w:p>
        </w:tc>
        <w:tc>
          <w:tcPr>
            <w:tcW w:w="4188" w:type="pct"/>
            <w:shd w:val="clear" w:color="auto" w:fill="C0C0C0"/>
            <w:vAlign w:val="center"/>
          </w:tcPr>
          <w:p w:rsidR="00194988" w:rsidRPr="00194988" w:rsidRDefault="00194988" w:rsidP="00D30928">
            <w:pPr>
              <w:widowControl/>
              <w:spacing w:line="240" w:lineRule="exact"/>
              <w:jc w:val="center"/>
              <w:rPr>
                <w:rFonts w:ascii="仿宋" w:eastAsia="仿宋" w:hAnsi="仿宋" w:cs="宋体"/>
                <w:b/>
                <w:bCs/>
                <w:color w:val="000000"/>
                <w:sz w:val="24"/>
                <w:szCs w:val="24"/>
              </w:rPr>
            </w:pPr>
            <w:r w:rsidRPr="00194988">
              <w:rPr>
                <w:rFonts w:ascii="仿宋" w:eastAsia="仿宋" w:hAnsi="仿宋" w:cs="宋体" w:hint="eastAsia"/>
                <w:b/>
                <w:bCs/>
                <w:color w:val="000000"/>
                <w:sz w:val="24"/>
                <w:szCs w:val="24"/>
              </w:rPr>
              <w:t>参数</w:t>
            </w:r>
          </w:p>
        </w:tc>
      </w:tr>
      <w:tr w:rsidR="00194988" w:rsidRPr="00194988" w:rsidTr="00D30928">
        <w:trPr>
          <w:trHeight w:val="851"/>
        </w:trPr>
        <w:tc>
          <w:tcPr>
            <w:tcW w:w="812" w:type="pct"/>
            <w:vMerge w:val="restar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基本要求</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本项目整体认证方案必须能够支持有线无线统一认证，支持基于B</w:t>
            </w:r>
            <w:r w:rsidRPr="00194988">
              <w:rPr>
                <w:rFonts w:ascii="仿宋" w:eastAsia="仿宋" w:hAnsi="仿宋"/>
                <w:color w:val="000000"/>
                <w:sz w:val="24"/>
                <w:szCs w:val="24"/>
              </w:rPr>
              <w:t>RAS</w:t>
            </w:r>
            <w:r w:rsidRPr="00194988">
              <w:rPr>
                <w:rFonts w:ascii="仿宋" w:eastAsia="仿宋" w:hAnsi="仿宋" w:hint="eastAsia"/>
                <w:color w:val="000000"/>
                <w:sz w:val="24"/>
                <w:szCs w:val="24"/>
              </w:rPr>
              <w:t>设备的</w:t>
            </w:r>
            <w:r w:rsidRPr="00194988">
              <w:rPr>
                <w:rFonts w:ascii="仿宋" w:eastAsia="仿宋" w:hAnsi="仿宋"/>
                <w:color w:val="000000"/>
                <w:sz w:val="24"/>
                <w:szCs w:val="24"/>
              </w:rPr>
              <w:t>portal</w:t>
            </w:r>
            <w:r w:rsidRPr="00194988">
              <w:rPr>
                <w:rFonts w:ascii="仿宋" w:eastAsia="仿宋" w:hAnsi="仿宋" w:hint="eastAsia"/>
                <w:color w:val="000000"/>
                <w:sz w:val="24"/>
                <w:szCs w:val="24"/>
              </w:rPr>
              <w:t>认证、</w:t>
            </w:r>
            <w:r w:rsidRPr="00194988">
              <w:rPr>
                <w:rFonts w:ascii="仿宋" w:eastAsia="仿宋" w:hAnsi="仿宋"/>
                <w:color w:val="000000"/>
                <w:sz w:val="24"/>
                <w:szCs w:val="24"/>
              </w:rPr>
              <w:t>MAC</w:t>
            </w:r>
            <w:r w:rsidRPr="00194988">
              <w:rPr>
                <w:rFonts w:ascii="仿宋" w:eastAsia="仿宋" w:hAnsi="仿宋" w:hint="eastAsia"/>
                <w:color w:val="000000"/>
                <w:sz w:val="24"/>
                <w:szCs w:val="24"/>
              </w:rPr>
              <w:t>认证、PPPoE认证、L</w:t>
            </w:r>
            <w:r w:rsidRPr="00194988">
              <w:rPr>
                <w:rFonts w:ascii="仿宋" w:eastAsia="仿宋" w:hAnsi="仿宋"/>
                <w:color w:val="000000"/>
                <w:sz w:val="24"/>
                <w:szCs w:val="24"/>
              </w:rPr>
              <w:t>2TP</w:t>
            </w:r>
            <w:r w:rsidRPr="00194988">
              <w:rPr>
                <w:rFonts w:ascii="仿宋" w:eastAsia="仿宋" w:hAnsi="仿宋" w:hint="eastAsia"/>
                <w:color w:val="000000"/>
                <w:sz w:val="24"/>
                <w:szCs w:val="24"/>
              </w:rPr>
              <w:t>认证等多种认证方式，支持多种认证模式的混合使用。</w:t>
            </w:r>
          </w:p>
        </w:tc>
      </w:tr>
      <w:tr w:rsidR="00194988" w:rsidRPr="00194988" w:rsidTr="00D30928">
        <w:trPr>
          <w:trHeight w:val="912"/>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认证系统须为纯软件架构，</w:t>
            </w:r>
            <w:r w:rsidRPr="00194988">
              <w:rPr>
                <w:rFonts w:ascii="仿宋" w:eastAsia="仿宋" w:hAnsi="仿宋"/>
                <w:color w:val="000000"/>
                <w:sz w:val="24"/>
                <w:szCs w:val="24"/>
              </w:rPr>
              <w:t>支持系统数据库和认证计费软件系统分离</w:t>
            </w:r>
            <w:r w:rsidRPr="00194988">
              <w:rPr>
                <w:rFonts w:ascii="仿宋" w:eastAsia="仿宋" w:hAnsi="仿宋" w:hint="eastAsia"/>
                <w:color w:val="000000"/>
                <w:sz w:val="24"/>
                <w:szCs w:val="24"/>
              </w:rPr>
              <w:t>，</w:t>
            </w:r>
            <w:r w:rsidRPr="00194988">
              <w:rPr>
                <w:rFonts w:ascii="仿宋" w:eastAsia="仿宋" w:hAnsi="仿宋"/>
                <w:color w:val="000000"/>
                <w:sz w:val="24"/>
                <w:szCs w:val="24"/>
              </w:rPr>
              <w:t>保证系统数据库和认证计费软件任意一个模块或系统出现故障</w:t>
            </w:r>
            <w:r w:rsidRPr="00194988">
              <w:rPr>
                <w:rFonts w:ascii="仿宋" w:eastAsia="仿宋" w:hAnsi="仿宋" w:hint="eastAsia"/>
                <w:color w:val="000000"/>
                <w:sz w:val="24"/>
                <w:szCs w:val="24"/>
              </w:rPr>
              <w:t>，</w:t>
            </w:r>
            <w:r w:rsidRPr="00194988">
              <w:rPr>
                <w:rFonts w:ascii="仿宋" w:eastAsia="仿宋" w:hAnsi="仿宋"/>
                <w:color w:val="000000"/>
                <w:sz w:val="24"/>
                <w:szCs w:val="24"/>
              </w:rPr>
              <w:t>都不影响用户的认证</w:t>
            </w:r>
            <w:r w:rsidRPr="00194988">
              <w:rPr>
                <w:rFonts w:ascii="仿宋" w:eastAsia="仿宋" w:hAnsi="仿宋" w:hint="eastAsia"/>
                <w:color w:val="000000"/>
                <w:sz w:val="24"/>
                <w:szCs w:val="24"/>
              </w:rPr>
              <w:t>。数据库要能支持热备功能。</w:t>
            </w:r>
          </w:p>
        </w:tc>
      </w:tr>
      <w:tr w:rsidR="00194988" w:rsidRPr="00194988" w:rsidTr="00D30928">
        <w:trPr>
          <w:trHeight w:val="726"/>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为保证本项目系统稳定性及可靠性，认证系统的P</w:t>
            </w:r>
            <w:r w:rsidRPr="00194988">
              <w:rPr>
                <w:rFonts w:ascii="仿宋" w:eastAsia="仿宋" w:hAnsi="仿宋"/>
                <w:color w:val="000000"/>
                <w:sz w:val="24"/>
                <w:szCs w:val="24"/>
              </w:rPr>
              <w:t>ORTAL</w:t>
            </w:r>
            <w:r w:rsidRPr="00194988">
              <w:rPr>
                <w:rFonts w:ascii="仿宋" w:eastAsia="仿宋" w:hAnsi="仿宋" w:hint="eastAsia"/>
                <w:color w:val="000000"/>
                <w:sz w:val="24"/>
                <w:szCs w:val="24"/>
              </w:rPr>
              <w:t>功能模块必须支持分布式部署，并可以部署于虚拟机上，实现快速平滑扩容。</w:t>
            </w:r>
          </w:p>
        </w:tc>
      </w:tr>
      <w:tr w:rsidR="00194988" w:rsidRPr="00194988" w:rsidTr="00D30928">
        <w:trPr>
          <w:trHeight w:val="604"/>
        </w:trPr>
        <w:tc>
          <w:tcPr>
            <w:tcW w:w="812" w:type="pct"/>
            <w:vMerge w:val="restar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认证接入控制</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支持用户帐号与M</w:t>
            </w:r>
            <w:r w:rsidRPr="00194988">
              <w:rPr>
                <w:rFonts w:ascii="仿宋" w:eastAsia="仿宋" w:hAnsi="仿宋"/>
                <w:color w:val="000000"/>
                <w:sz w:val="24"/>
                <w:szCs w:val="24"/>
              </w:rPr>
              <w:t>AC</w:t>
            </w:r>
            <w:r w:rsidRPr="00194988">
              <w:rPr>
                <w:rFonts w:ascii="仿宋" w:eastAsia="仿宋" w:hAnsi="仿宋" w:hint="eastAsia"/>
                <w:color w:val="000000"/>
                <w:sz w:val="24"/>
                <w:szCs w:val="24"/>
              </w:rPr>
              <w:t>地址绑定，在绑定M</w:t>
            </w:r>
            <w:r w:rsidRPr="00194988">
              <w:rPr>
                <w:rFonts w:ascii="仿宋" w:eastAsia="仿宋" w:hAnsi="仿宋"/>
                <w:color w:val="000000"/>
                <w:sz w:val="24"/>
                <w:szCs w:val="24"/>
              </w:rPr>
              <w:t>AC</w:t>
            </w:r>
            <w:r w:rsidRPr="00194988">
              <w:rPr>
                <w:rFonts w:ascii="仿宋" w:eastAsia="仿宋" w:hAnsi="仿宋" w:hint="eastAsia"/>
                <w:color w:val="000000"/>
                <w:sz w:val="24"/>
                <w:szCs w:val="24"/>
              </w:rPr>
              <w:t>状态下，该帐户不允许通过未被绑定的M</w:t>
            </w:r>
            <w:r w:rsidRPr="00194988">
              <w:rPr>
                <w:rFonts w:ascii="仿宋" w:eastAsia="仿宋" w:hAnsi="仿宋"/>
                <w:color w:val="000000"/>
                <w:sz w:val="24"/>
                <w:szCs w:val="24"/>
              </w:rPr>
              <w:t>AC</w:t>
            </w:r>
            <w:r w:rsidRPr="00194988">
              <w:rPr>
                <w:rFonts w:ascii="仿宋" w:eastAsia="仿宋" w:hAnsi="仿宋" w:hint="eastAsia"/>
                <w:color w:val="000000"/>
                <w:sz w:val="24"/>
                <w:szCs w:val="24"/>
              </w:rPr>
              <w:t>地址进行认证。支持一个帐户绑定不少于4个M</w:t>
            </w:r>
            <w:r w:rsidRPr="00194988">
              <w:rPr>
                <w:rFonts w:ascii="仿宋" w:eastAsia="仿宋" w:hAnsi="仿宋"/>
                <w:color w:val="000000"/>
                <w:sz w:val="24"/>
                <w:szCs w:val="24"/>
              </w:rPr>
              <w:t>AC</w:t>
            </w:r>
            <w:r w:rsidRPr="00194988">
              <w:rPr>
                <w:rFonts w:ascii="仿宋" w:eastAsia="仿宋" w:hAnsi="仿宋" w:hint="eastAsia"/>
                <w:color w:val="000000"/>
                <w:sz w:val="24"/>
                <w:szCs w:val="24"/>
              </w:rPr>
              <w:t>地址。</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支持指</w:t>
            </w:r>
            <w:r w:rsidRPr="00194988">
              <w:rPr>
                <w:rFonts w:ascii="仿宋" w:eastAsia="仿宋" w:hAnsi="仿宋"/>
                <w:color w:val="000000"/>
                <w:sz w:val="24"/>
                <w:szCs w:val="24"/>
              </w:rPr>
              <w:t>定</w:t>
            </w:r>
            <w:r w:rsidRPr="00194988">
              <w:rPr>
                <w:rFonts w:ascii="仿宋" w:eastAsia="仿宋" w:hAnsi="仿宋" w:hint="eastAsia"/>
                <w:color w:val="000000"/>
                <w:sz w:val="24"/>
                <w:szCs w:val="24"/>
              </w:rPr>
              <w:t>终端</w:t>
            </w:r>
            <w:r w:rsidRPr="00194988">
              <w:rPr>
                <w:rFonts w:ascii="仿宋" w:eastAsia="仿宋" w:hAnsi="仿宋"/>
                <w:color w:val="000000"/>
                <w:sz w:val="24"/>
                <w:szCs w:val="24"/>
              </w:rPr>
              <w:t>设备在</w:t>
            </w:r>
            <w:r w:rsidRPr="00194988">
              <w:rPr>
                <w:rFonts w:ascii="仿宋" w:eastAsia="仿宋" w:hAnsi="仿宋" w:hint="eastAsia"/>
                <w:color w:val="000000"/>
                <w:sz w:val="24"/>
                <w:szCs w:val="24"/>
              </w:rPr>
              <w:t>注册</w:t>
            </w:r>
            <w:r w:rsidRPr="00194988">
              <w:rPr>
                <w:rFonts w:ascii="仿宋" w:eastAsia="仿宋" w:hAnsi="仿宋"/>
                <w:color w:val="000000"/>
                <w:sz w:val="24"/>
                <w:szCs w:val="24"/>
              </w:rPr>
              <w:t>和</w:t>
            </w:r>
            <w:r w:rsidRPr="00194988">
              <w:rPr>
                <w:rFonts w:ascii="仿宋" w:eastAsia="仿宋" w:hAnsi="仿宋" w:hint="eastAsia"/>
                <w:color w:val="000000"/>
                <w:sz w:val="24"/>
                <w:szCs w:val="24"/>
              </w:rPr>
              <w:t>绑定用户</w:t>
            </w:r>
            <w:r w:rsidRPr="00194988">
              <w:rPr>
                <w:rFonts w:ascii="仿宋" w:eastAsia="仿宋" w:hAnsi="仿宋"/>
                <w:color w:val="000000"/>
                <w:sz w:val="24"/>
                <w:szCs w:val="24"/>
              </w:rPr>
              <w:t>账号后能无感知认证上网</w:t>
            </w:r>
            <w:r w:rsidRPr="00194988">
              <w:rPr>
                <w:rFonts w:ascii="仿宋" w:eastAsia="仿宋" w:hAnsi="仿宋" w:hint="eastAsia"/>
                <w:color w:val="000000"/>
                <w:sz w:val="24"/>
                <w:szCs w:val="24"/>
              </w:rPr>
              <w:t>；支持定时刻和定时长下线功能；基于区域限制终端是否开启</w:t>
            </w:r>
            <w:r w:rsidRPr="00194988">
              <w:rPr>
                <w:rFonts w:ascii="仿宋" w:eastAsia="仿宋" w:hAnsi="仿宋"/>
                <w:color w:val="000000"/>
                <w:sz w:val="24"/>
                <w:szCs w:val="24"/>
              </w:rPr>
              <w:t>无感知认证</w:t>
            </w:r>
            <w:r w:rsidRPr="00194988">
              <w:rPr>
                <w:rFonts w:ascii="仿宋" w:eastAsia="仿宋" w:hAnsi="仿宋" w:hint="eastAsia"/>
                <w:color w:val="000000"/>
                <w:sz w:val="24"/>
                <w:szCs w:val="24"/>
              </w:rPr>
              <w:t>功能</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sz w:val="24"/>
                <w:szCs w:val="24"/>
              </w:rPr>
            </w:pPr>
            <w:r w:rsidRPr="00194988">
              <w:rPr>
                <w:rFonts w:ascii="仿宋" w:eastAsia="仿宋" w:hAnsi="仿宋" w:hint="eastAsia"/>
                <w:color w:val="000000"/>
                <w:sz w:val="24"/>
                <w:szCs w:val="24"/>
              </w:rPr>
              <w:t>基于区域限制终端并发数，限制某一区域用户在某个时间范围内不允许上网，限制账号可以使用的区域；同一账号在不同区域可以采用不同的计费方式（不能仅根据IP地址区分区域）</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★支持对手机、平板、电脑等各种类型终端识别，并针对不同终端类型进行计费管理、带宽限制、上网时间段限制、上网区域限制</w:t>
            </w:r>
            <w:r w:rsidRPr="00194988">
              <w:rPr>
                <w:rFonts w:ascii="仿宋" w:eastAsia="仿宋" w:hAnsi="仿宋"/>
                <w:color w:val="000000"/>
                <w:sz w:val="24"/>
                <w:szCs w:val="24"/>
              </w:rPr>
              <w:t xml:space="preserve">  </w:t>
            </w:r>
            <w:r w:rsidRPr="00194988">
              <w:rPr>
                <w:rFonts w:ascii="仿宋" w:eastAsia="仿宋" w:hAnsi="仿宋" w:hint="eastAsia"/>
                <w:color w:val="000000"/>
                <w:sz w:val="24"/>
                <w:szCs w:val="24"/>
              </w:rPr>
              <w:t>（提供盖厂商公章的功能截图）</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★支持当用户最大在线数超出后，使用portal登录时，可提示用户选择下线的终端</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w:t>
            </w:r>
            <w:r w:rsidRPr="00194988">
              <w:rPr>
                <w:rFonts w:ascii="仿宋" w:eastAsia="仿宋" w:hAnsi="仿宋"/>
                <w:color w:val="000000"/>
                <w:sz w:val="24"/>
                <w:szCs w:val="24"/>
              </w:rPr>
              <w:t>支持用户精细化管理，包括但不限于按用户身份、接入方式、终端类型、接入时间和接入地点等方式完成接入策略控制和信息绑定等</w:t>
            </w:r>
            <w:r w:rsidRPr="00194988">
              <w:rPr>
                <w:rFonts w:ascii="仿宋" w:eastAsia="仿宋" w:hAnsi="仿宋" w:hint="eastAsia"/>
                <w:color w:val="000000"/>
                <w:sz w:val="24"/>
                <w:szCs w:val="24"/>
              </w:rPr>
              <w:t>（提供盖厂商公章的功能截图）</w:t>
            </w:r>
          </w:p>
        </w:tc>
      </w:tr>
      <w:tr w:rsidR="00194988" w:rsidRPr="00194988" w:rsidTr="00D30928">
        <w:trPr>
          <w:trHeight w:val="650"/>
        </w:trPr>
        <w:tc>
          <w:tcPr>
            <w:tcW w:w="812" w:type="pct"/>
            <w:vMerge w:val="restar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用户自助</w:t>
            </w:r>
            <w:r w:rsidRPr="00194988">
              <w:rPr>
                <w:rFonts w:ascii="仿宋" w:eastAsia="仿宋" w:hAnsi="仿宋"/>
                <w:color w:val="000000"/>
                <w:sz w:val="24"/>
                <w:szCs w:val="24"/>
              </w:rPr>
              <w:t>服务</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用户可通过自助服务页面完成密码修改、MAC认证地址修改、上网明细查询、认证失败日志查询</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支持访客系统，</w:t>
            </w:r>
            <w:r w:rsidRPr="00194988">
              <w:rPr>
                <w:rFonts w:ascii="仿宋" w:eastAsia="仿宋" w:hAnsi="仿宋"/>
                <w:color w:val="000000"/>
                <w:sz w:val="24"/>
                <w:szCs w:val="24"/>
              </w:rPr>
              <w:t>访客系统</w:t>
            </w:r>
            <w:r w:rsidRPr="00194988">
              <w:rPr>
                <w:rFonts w:ascii="仿宋" w:eastAsia="仿宋" w:hAnsi="仿宋" w:hint="eastAsia"/>
                <w:color w:val="000000"/>
                <w:sz w:val="24"/>
                <w:szCs w:val="24"/>
              </w:rPr>
              <w:t>要</w:t>
            </w:r>
            <w:r w:rsidRPr="00194988">
              <w:rPr>
                <w:rFonts w:ascii="仿宋" w:eastAsia="仿宋" w:hAnsi="仿宋"/>
                <w:color w:val="000000"/>
                <w:sz w:val="24"/>
                <w:szCs w:val="24"/>
              </w:rPr>
              <w:t>与微信</w:t>
            </w:r>
            <w:r w:rsidRPr="00194988">
              <w:rPr>
                <w:rFonts w:ascii="仿宋" w:eastAsia="仿宋" w:hAnsi="仿宋" w:hint="eastAsia"/>
                <w:color w:val="000000"/>
                <w:sz w:val="24"/>
                <w:szCs w:val="24"/>
              </w:rPr>
              <w:t>企业</w:t>
            </w:r>
            <w:r w:rsidRPr="00194988">
              <w:rPr>
                <w:rFonts w:ascii="仿宋" w:eastAsia="仿宋" w:hAnsi="仿宋"/>
                <w:color w:val="000000"/>
                <w:sz w:val="24"/>
                <w:szCs w:val="24"/>
              </w:rPr>
              <w:t>号</w:t>
            </w:r>
            <w:r w:rsidRPr="00194988">
              <w:rPr>
                <w:rFonts w:ascii="仿宋" w:eastAsia="仿宋" w:hAnsi="仿宋" w:hint="eastAsia"/>
                <w:color w:val="000000"/>
                <w:sz w:val="24"/>
                <w:szCs w:val="24"/>
              </w:rPr>
              <w:t>、</w:t>
            </w:r>
            <w:r w:rsidRPr="00194988">
              <w:rPr>
                <w:rFonts w:ascii="仿宋" w:eastAsia="仿宋" w:hAnsi="仿宋"/>
                <w:color w:val="000000"/>
                <w:sz w:val="24"/>
                <w:szCs w:val="24"/>
              </w:rPr>
              <w:t>微信小程序</w:t>
            </w:r>
            <w:r w:rsidRPr="00194988">
              <w:rPr>
                <w:rFonts w:ascii="仿宋" w:eastAsia="仿宋" w:hAnsi="仿宋" w:hint="eastAsia"/>
                <w:color w:val="000000"/>
                <w:sz w:val="24"/>
                <w:szCs w:val="24"/>
              </w:rPr>
              <w:t>对接，能</w:t>
            </w:r>
            <w:r w:rsidRPr="00194988">
              <w:rPr>
                <w:rFonts w:ascii="仿宋" w:eastAsia="仿宋" w:hAnsi="仿宋"/>
                <w:color w:val="000000"/>
                <w:sz w:val="24"/>
                <w:szCs w:val="24"/>
              </w:rPr>
              <w:t>支持注册</w:t>
            </w:r>
            <w:r w:rsidRPr="00194988">
              <w:rPr>
                <w:rFonts w:ascii="仿宋" w:eastAsia="仿宋" w:hAnsi="仿宋" w:hint="eastAsia"/>
                <w:color w:val="000000"/>
                <w:sz w:val="24"/>
                <w:szCs w:val="24"/>
              </w:rPr>
              <w:t>型</w:t>
            </w:r>
            <w:r w:rsidRPr="00194988">
              <w:rPr>
                <w:rFonts w:ascii="仿宋" w:eastAsia="仿宋" w:hAnsi="仿宋"/>
                <w:color w:val="000000"/>
                <w:sz w:val="24"/>
                <w:szCs w:val="24"/>
              </w:rPr>
              <w:t>访客和</w:t>
            </w:r>
            <w:r w:rsidRPr="00194988">
              <w:rPr>
                <w:rFonts w:ascii="仿宋" w:eastAsia="仿宋" w:hAnsi="仿宋" w:hint="eastAsia"/>
                <w:color w:val="000000"/>
                <w:sz w:val="24"/>
                <w:szCs w:val="24"/>
              </w:rPr>
              <w:t>共享</w:t>
            </w:r>
            <w:r w:rsidRPr="00194988">
              <w:rPr>
                <w:rFonts w:ascii="仿宋" w:eastAsia="仿宋" w:hAnsi="仿宋"/>
                <w:color w:val="000000"/>
                <w:sz w:val="24"/>
                <w:szCs w:val="24"/>
              </w:rPr>
              <w:t>型访客的</w:t>
            </w:r>
            <w:r w:rsidRPr="00194988">
              <w:rPr>
                <w:rFonts w:ascii="仿宋" w:eastAsia="仿宋" w:hAnsi="仿宋" w:hint="eastAsia"/>
                <w:color w:val="000000"/>
                <w:sz w:val="24"/>
                <w:szCs w:val="24"/>
              </w:rPr>
              <w:t>上网。</w:t>
            </w:r>
          </w:p>
        </w:tc>
      </w:tr>
      <w:tr w:rsidR="00194988" w:rsidRPr="00194988" w:rsidTr="00D30928">
        <w:trPr>
          <w:trHeight w:val="350"/>
        </w:trPr>
        <w:tc>
          <w:tcPr>
            <w:tcW w:w="812" w:type="pct"/>
            <w:vMerge w:val="restar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计费策略</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支持认证控制策略与计费策略分离设置，并可以对不同认证控制策略与计费策略进行组合，实现复杂认证计费控制功能。</w:t>
            </w:r>
          </w:p>
        </w:tc>
      </w:tr>
      <w:tr w:rsidR="00194988" w:rsidRPr="00194988" w:rsidTr="00D30928">
        <w:trPr>
          <w:trHeight w:val="746"/>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支持计天、包月、流量计费、时长计费、自定义周期计费、自定义计费策略、本周起不使用不扣费、一次付费分段开通、有线无线综合计费策略</w:t>
            </w:r>
          </w:p>
        </w:tc>
      </w:tr>
      <w:tr w:rsidR="00194988" w:rsidRPr="00194988" w:rsidTr="00D30928">
        <w:trPr>
          <w:trHeight w:val="387"/>
        </w:trPr>
        <w:tc>
          <w:tcPr>
            <w:tcW w:w="812" w:type="pct"/>
            <w:vMerge w:val="restar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运维管理</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支持在线用户管理、在线人数分析、上网明细管理、日志管理，系统能够提供运行报告</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支持用户信息的批量导入，可以灵活制定导入策略，并同时记录导入日志</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★可基于SNMP、telnet、SSH实现网络设备自动发现、自动生成网络拓扑结构; 可查看网络设备（如交换机、路由器）端口状态、接入用户详情（接入用户账号、账号、所在端口、IP、MAC、位置等信息）（提供盖厂商公章的功能截图）</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支持一键逃生功能，支持当认证系统故障时，可在web界面一键逃生，用户输入任意账号密码认证上网</w:t>
            </w:r>
          </w:p>
        </w:tc>
      </w:tr>
      <w:tr w:rsidR="00194988" w:rsidRPr="00194988" w:rsidTr="00D30928">
        <w:trPr>
          <w:trHeight w:val="387"/>
        </w:trPr>
        <w:tc>
          <w:tcPr>
            <w:tcW w:w="812" w:type="pct"/>
            <w:vMerge/>
            <w:vAlign w:val="center"/>
          </w:tcPr>
          <w:p w:rsidR="00194988" w:rsidRPr="00194988" w:rsidRDefault="00194988" w:rsidP="00D30928">
            <w:pPr>
              <w:rPr>
                <w:rFonts w:ascii="仿宋" w:eastAsia="仿宋" w:hAnsi="仿宋"/>
                <w:color w:val="000000"/>
                <w:sz w:val="24"/>
                <w:szCs w:val="24"/>
              </w:rPr>
            </w:pP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★系统提供内置D</w:t>
            </w:r>
            <w:r w:rsidRPr="00194988">
              <w:rPr>
                <w:rFonts w:ascii="仿宋" w:eastAsia="仿宋" w:hAnsi="仿宋"/>
                <w:color w:val="000000"/>
                <w:sz w:val="24"/>
                <w:szCs w:val="24"/>
              </w:rPr>
              <w:t>HCP</w:t>
            </w:r>
            <w:r w:rsidRPr="00194988">
              <w:rPr>
                <w:rFonts w:ascii="仿宋" w:eastAsia="仿宋" w:hAnsi="仿宋" w:hint="eastAsia"/>
                <w:color w:val="000000"/>
                <w:sz w:val="24"/>
                <w:szCs w:val="24"/>
              </w:rPr>
              <w:t>功能模块，支持基于终端M</w:t>
            </w:r>
            <w:r w:rsidRPr="00194988">
              <w:rPr>
                <w:rFonts w:ascii="仿宋" w:eastAsia="仿宋" w:hAnsi="仿宋"/>
                <w:color w:val="000000"/>
                <w:sz w:val="24"/>
                <w:szCs w:val="24"/>
              </w:rPr>
              <w:t>AC</w:t>
            </w:r>
            <w:r w:rsidRPr="00194988">
              <w:rPr>
                <w:rFonts w:ascii="仿宋" w:eastAsia="仿宋" w:hAnsi="仿宋" w:hint="eastAsia"/>
                <w:color w:val="000000"/>
                <w:sz w:val="24"/>
                <w:szCs w:val="24"/>
              </w:rPr>
              <w:t>、接入V</w:t>
            </w:r>
            <w:r w:rsidRPr="00194988">
              <w:rPr>
                <w:rFonts w:ascii="仿宋" w:eastAsia="仿宋" w:hAnsi="仿宋"/>
                <w:color w:val="000000"/>
                <w:sz w:val="24"/>
                <w:szCs w:val="24"/>
              </w:rPr>
              <w:t>LAN</w:t>
            </w:r>
            <w:r w:rsidRPr="00194988">
              <w:rPr>
                <w:rFonts w:ascii="仿宋" w:eastAsia="仿宋" w:hAnsi="仿宋" w:hint="eastAsia"/>
                <w:color w:val="000000"/>
                <w:sz w:val="24"/>
                <w:szCs w:val="24"/>
              </w:rPr>
              <w:t>、物理位置、身份标签等作D</w:t>
            </w:r>
            <w:r w:rsidRPr="00194988">
              <w:rPr>
                <w:rFonts w:ascii="仿宋" w:eastAsia="仿宋" w:hAnsi="仿宋"/>
                <w:color w:val="000000"/>
                <w:sz w:val="24"/>
                <w:szCs w:val="24"/>
              </w:rPr>
              <w:t>HCP</w:t>
            </w:r>
            <w:r w:rsidRPr="00194988">
              <w:rPr>
                <w:rFonts w:ascii="仿宋" w:eastAsia="仿宋" w:hAnsi="仿宋" w:hint="eastAsia"/>
                <w:color w:val="000000"/>
                <w:sz w:val="24"/>
                <w:szCs w:val="24"/>
              </w:rPr>
              <w:t>分配地址的依据。（提供盖厂商公章的功能截图）</w:t>
            </w:r>
          </w:p>
        </w:tc>
      </w:tr>
      <w:tr w:rsidR="00194988" w:rsidRPr="00194988" w:rsidTr="00D30928">
        <w:trPr>
          <w:trHeight w:val="387"/>
        </w:trPr>
        <w:tc>
          <w:tcPr>
            <w:tcW w:w="812" w:type="pct"/>
            <w:vAlign w:val="center"/>
          </w:tcPr>
          <w:p w:rsidR="00194988" w:rsidRPr="00194988" w:rsidRDefault="00194988" w:rsidP="00D30928">
            <w:pPr>
              <w:jc w:val="center"/>
              <w:rPr>
                <w:rFonts w:ascii="仿宋" w:eastAsia="仿宋" w:hAnsi="仿宋"/>
                <w:color w:val="000000"/>
                <w:sz w:val="24"/>
                <w:szCs w:val="24"/>
              </w:rPr>
            </w:pPr>
            <w:r w:rsidRPr="00194988">
              <w:rPr>
                <w:rFonts w:ascii="仿宋" w:eastAsia="仿宋" w:hAnsi="仿宋" w:hint="eastAsia"/>
                <w:color w:val="000000"/>
                <w:sz w:val="24"/>
                <w:szCs w:val="24"/>
              </w:rPr>
              <w:t>授权要求</w:t>
            </w:r>
          </w:p>
        </w:tc>
        <w:tc>
          <w:tcPr>
            <w:tcW w:w="4188" w:type="pct"/>
            <w:vAlign w:val="center"/>
          </w:tcPr>
          <w:p w:rsidR="00194988" w:rsidRPr="00194988" w:rsidRDefault="00194988" w:rsidP="00D30928">
            <w:pPr>
              <w:rPr>
                <w:rFonts w:ascii="仿宋" w:eastAsia="仿宋" w:hAnsi="仿宋"/>
                <w:color w:val="000000"/>
                <w:sz w:val="24"/>
                <w:szCs w:val="24"/>
              </w:rPr>
            </w:pPr>
            <w:r w:rsidRPr="00194988">
              <w:rPr>
                <w:rFonts w:ascii="仿宋" w:eastAsia="仿宋" w:hAnsi="仿宋" w:hint="eastAsia"/>
                <w:color w:val="000000"/>
                <w:sz w:val="24"/>
                <w:szCs w:val="24"/>
              </w:rPr>
              <w:t>★配置≥10000个在线用户授权</w:t>
            </w:r>
          </w:p>
        </w:tc>
      </w:tr>
    </w:tbl>
    <w:p w:rsidR="00194988" w:rsidRDefault="00194988">
      <w:pPr>
        <w:spacing w:line="440" w:lineRule="exact"/>
        <w:jc w:val="center"/>
        <w:rPr>
          <w:rFonts w:ascii="仿宋" w:eastAsia="仿宋" w:hAnsi="仿宋"/>
          <w:b/>
          <w:sz w:val="32"/>
          <w:szCs w:val="32"/>
        </w:rPr>
      </w:pPr>
    </w:p>
    <w:sectPr w:rsidR="00194988" w:rsidSect="00A41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724E98"/>
    <w:multiLevelType w:val="singleLevel"/>
    <w:tmpl w:val="C3724E98"/>
    <w:lvl w:ilvl="0">
      <w:start w:val="7"/>
      <w:numFmt w:val="decimal"/>
      <w:suff w:val="nothing"/>
      <w:lvlText w:val="%1、"/>
      <w:lvlJc w:val="left"/>
    </w:lvl>
  </w:abstractNum>
  <w:abstractNum w:abstractNumId="1">
    <w:nsid w:val="C5C729D5"/>
    <w:multiLevelType w:val="singleLevel"/>
    <w:tmpl w:val="C5C729D5"/>
    <w:lvl w:ilvl="0">
      <w:start w:val="1"/>
      <w:numFmt w:val="decimal"/>
      <w:lvlText w:val="%1."/>
      <w:lvlJc w:val="left"/>
      <w:pPr>
        <w:tabs>
          <w:tab w:val="left" w:pos="312"/>
        </w:tabs>
      </w:pPr>
    </w:lvl>
  </w:abstractNum>
  <w:abstractNum w:abstractNumId="2">
    <w:nsid w:val="FF49E164"/>
    <w:multiLevelType w:val="singleLevel"/>
    <w:tmpl w:val="FF49E164"/>
    <w:lvl w:ilvl="0">
      <w:start w:val="9"/>
      <w:numFmt w:val="decimal"/>
      <w:lvlText w:val="%1."/>
      <w:lvlJc w:val="left"/>
      <w:pPr>
        <w:tabs>
          <w:tab w:val="num" w:pos="312"/>
        </w:tabs>
      </w:pPr>
    </w:lvl>
  </w:abstractNum>
  <w:abstractNum w:abstractNumId="3">
    <w:nsid w:val="414A6B70"/>
    <w:multiLevelType w:val="singleLevel"/>
    <w:tmpl w:val="414A6B70"/>
    <w:lvl w:ilvl="0">
      <w:start w:val="1"/>
      <w:numFmt w:val="decimal"/>
      <w:suff w:val="nothing"/>
      <w:lvlText w:val="%1、"/>
      <w:lvlJc w:val="left"/>
    </w:lvl>
  </w:abstractNum>
  <w:abstractNum w:abstractNumId="4">
    <w:nsid w:val="44F9FE7C"/>
    <w:multiLevelType w:val="singleLevel"/>
    <w:tmpl w:val="44F9FE7C"/>
    <w:lvl w:ilvl="0">
      <w:start w:val="1"/>
      <w:numFmt w:val="decimal"/>
      <w:suff w:val="nothing"/>
      <w:lvlText w:val="%1、"/>
      <w:lvlJc w:val="left"/>
    </w:lvl>
  </w:abstractNum>
  <w:abstractNum w:abstractNumId="5">
    <w:nsid w:val="4FE60142"/>
    <w:multiLevelType w:val="hybridMultilevel"/>
    <w:tmpl w:val="6C823C8A"/>
    <w:lvl w:ilvl="0" w:tplc="343E74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B47AE"/>
    <w:rsid w:val="000C0B4B"/>
    <w:rsid w:val="000D1B1B"/>
    <w:rsid w:val="00111EFC"/>
    <w:rsid w:val="00114AA3"/>
    <w:rsid w:val="0012342B"/>
    <w:rsid w:val="001263CF"/>
    <w:rsid w:val="00127F7C"/>
    <w:rsid w:val="001401EA"/>
    <w:rsid w:val="001522E2"/>
    <w:rsid w:val="00172759"/>
    <w:rsid w:val="00173D7F"/>
    <w:rsid w:val="00184EFF"/>
    <w:rsid w:val="00185CB0"/>
    <w:rsid w:val="00194988"/>
    <w:rsid w:val="001B3F77"/>
    <w:rsid w:val="001C100B"/>
    <w:rsid w:val="001D35A9"/>
    <w:rsid w:val="001F4662"/>
    <w:rsid w:val="00222E82"/>
    <w:rsid w:val="00270F03"/>
    <w:rsid w:val="002D37DC"/>
    <w:rsid w:val="002E3506"/>
    <w:rsid w:val="002E7EFD"/>
    <w:rsid w:val="002F30E8"/>
    <w:rsid w:val="00326E8F"/>
    <w:rsid w:val="00332B0E"/>
    <w:rsid w:val="0035405B"/>
    <w:rsid w:val="00354AF6"/>
    <w:rsid w:val="003647F3"/>
    <w:rsid w:val="003678EC"/>
    <w:rsid w:val="00384CD8"/>
    <w:rsid w:val="003A242A"/>
    <w:rsid w:val="003D67EF"/>
    <w:rsid w:val="003F5670"/>
    <w:rsid w:val="004138C0"/>
    <w:rsid w:val="00421101"/>
    <w:rsid w:val="004379CF"/>
    <w:rsid w:val="00457B04"/>
    <w:rsid w:val="004718C5"/>
    <w:rsid w:val="00487B01"/>
    <w:rsid w:val="00495935"/>
    <w:rsid w:val="004A3173"/>
    <w:rsid w:val="004B46F9"/>
    <w:rsid w:val="004D7243"/>
    <w:rsid w:val="004E4388"/>
    <w:rsid w:val="004F2119"/>
    <w:rsid w:val="005000CD"/>
    <w:rsid w:val="00512D54"/>
    <w:rsid w:val="00515C49"/>
    <w:rsid w:val="00532DD8"/>
    <w:rsid w:val="00533D14"/>
    <w:rsid w:val="00537B3B"/>
    <w:rsid w:val="0055090A"/>
    <w:rsid w:val="00552E20"/>
    <w:rsid w:val="00571CCA"/>
    <w:rsid w:val="005748E6"/>
    <w:rsid w:val="005875A6"/>
    <w:rsid w:val="00597D68"/>
    <w:rsid w:val="005A136B"/>
    <w:rsid w:val="005C1E36"/>
    <w:rsid w:val="005C5E7E"/>
    <w:rsid w:val="005C6A46"/>
    <w:rsid w:val="005F4292"/>
    <w:rsid w:val="0060268D"/>
    <w:rsid w:val="00607678"/>
    <w:rsid w:val="00625633"/>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5E9E"/>
    <w:rsid w:val="00776BB9"/>
    <w:rsid w:val="00783832"/>
    <w:rsid w:val="00793C17"/>
    <w:rsid w:val="007A101C"/>
    <w:rsid w:val="007C02F7"/>
    <w:rsid w:val="00805155"/>
    <w:rsid w:val="00805A89"/>
    <w:rsid w:val="00806320"/>
    <w:rsid w:val="00807F88"/>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96666"/>
    <w:rsid w:val="009A685E"/>
    <w:rsid w:val="009D0887"/>
    <w:rsid w:val="009D4C11"/>
    <w:rsid w:val="009D6BBF"/>
    <w:rsid w:val="00A0024C"/>
    <w:rsid w:val="00A05661"/>
    <w:rsid w:val="00A2469D"/>
    <w:rsid w:val="00A26960"/>
    <w:rsid w:val="00A30FCC"/>
    <w:rsid w:val="00A35CEB"/>
    <w:rsid w:val="00A41939"/>
    <w:rsid w:val="00A45071"/>
    <w:rsid w:val="00A76D06"/>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F3F93"/>
    <w:rsid w:val="00BF70A6"/>
    <w:rsid w:val="00BF7405"/>
    <w:rsid w:val="00C20864"/>
    <w:rsid w:val="00C23F50"/>
    <w:rsid w:val="00C455CD"/>
    <w:rsid w:val="00C56C0E"/>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22958"/>
    <w:rsid w:val="00E43FF3"/>
    <w:rsid w:val="00E523B4"/>
    <w:rsid w:val="00E74E35"/>
    <w:rsid w:val="00E80B84"/>
    <w:rsid w:val="00E95602"/>
    <w:rsid w:val="00EA4553"/>
    <w:rsid w:val="00EC7811"/>
    <w:rsid w:val="00EF763D"/>
    <w:rsid w:val="00F12886"/>
    <w:rsid w:val="00F324E7"/>
    <w:rsid w:val="00F424CE"/>
    <w:rsid w:val="00F77E5F"/>
    <w:rsid w:val="00F855E6"/>
    <w:rsid w:val="00F90573"/>
    <w:rsid w:val="00FD0BCB"/>
    <w:rsid w:val="00FE3A9D"/>
    <w:rsid w:val="00FF2C9C"/>
    <w:rsid w:val="00FF73AE"/>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123F6-45A6-41BC-B7E9-44D7AF6D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187</cp:revision>
  <dcterms:created xsi:type="dcterms:W3CDTF">2024-04-09T12:19:00Z</dcterms:created>
  <dcterms:modified xsi:type="dcterms:W3CDTF">2025-06-24T02:26:00Z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