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45"/>
        <w:textAlignment w:val="baseline"/>
        <w:outlineLvl w:val="0"/>
        <w:rPr>
          <w:rFonts w:hint="eastAsia" w:ascii="微软雅黑" w:hAnsi="微软雅黑" w:eastAsia="微软雅黑" w:cs="微软雅黑"/>
          <w:spacing w:val="9"/>
          <w:sz w:val="32"/>
          <w:szCs w:val="32"/>
          <w:u w:val="none"/>
        </w:rPr>
      </w:pPr>
      <w:r>
        <w:rPr>
          <w:rFonts w:hint="eastAsia" w:ascii="微软雅黑" w:hAnsi="微软雅黑" w:eastAsia="微软雅黑" w:cs="微软雅黑"/>
          <w:spacing w:val="-6"/>
          <w:sz w:val="32"/>
          <w:szCs w:val="32"/>
        </w:rPr>
        <w:t>附件</w:t>
      </w:r>
      <w:r>
        <w:rPr>
          <w:rFonts w:hint="eastAsia" w:ascii="微软雅黑" w:hAnsi="微软雅黑" w:eastAsia="微软雅黑" w:cs="微软雅黑"/>
          <w:spacing w:val="-38"/>
          <w:sz w:val="32"/>
          <w:szCs w:val="32"/>
        </w:rPr>
        <w:t xml:space="preserve"> </w:t>
      </w:r>
      <w:r>
        <w:rPr>
          <w:rFonts w:hint="eastAsia" w:ascii="微软雅黑" w:hAnsi="微软雅黑" w:eastAsia="微软雅黑" w:cs="微软雅黑"/>
          <w:spacing w:val="-6"/>
          <w:sz w:val="32"/>
          <w:szCs w:val="32"/>
        </w:rPr>
        <w:t>1</w:t>
      </w:r>
      <w:r>
        <w:rPr>
          <w:rFonts w:hint="eastAsia" w:ascii="微软雅黑" w:hAnsi="微软雅黑" w:eastAsia="微软雅黑" w:cs="微软雅黑"/>
          <w:spacing w:val="-6"/>
          <w:sz w:val="32"/>
          <w:szCs w:val="32"/>
          <w:lang w:val="en-US" w:eastAsia="zh-CN"/>
        </w:rPr>
        <w:t xml:space="preserve">  </w:t>
      </w:r>
      <w:r>
        <w:rPr>
          <w:rFonts w:hint="eastAsia" w:ascii="微软雅黑" w:hAnsi="微软雅黑" w:eastAsia="微软雅黑" w:cs="微软雅黑"/>
          <w:spacing w:val="9"/>
          <w:sz w:val="32"/>
          <w:szCs w:val="32"/>
          <w:u w:val="none"/>
          <w:lang w:val="en-US" w:eastAsia="zh-CN"/>
        </w:rPr>
        <w:t>物流管理</w:t>
      </w:r>
      <w:r>
        <w:rPr>
          <w:rFonts w:hint="eastAsia" w:ascii="微软雅黑" w:hAnsi="微软雅黑" w:eastAsia="微软雅黑" w:cs="微软雅黑"/>
          <w:spacing w:val="9"/>
          <w:sz w:val="32"/>
          <w:szCs w:val="32"/>
          <w:u w:val="none"/>
        </w:rPr>
        <w:t>专业建设标准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介绍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物流管理专业是一门涉及广泛领域的学科，它关注于商品从生产地到消费地的整个流程。这个专业的学生将学习如何有效地规划、实施和控制这一过程，以确保货物能够安全、及时且成本效益地到达目的地。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在物流管理专业的课程中，学生会接触到供应链管理的核心概念，这包括需求预测、库存控制、运输方式选择、包装技术、仓储布局以及订单处理等。此外，他们还将学习如何使用信息技术来优化物流操作，例如通过使用企业资源规划</w:t>
      </w:r>
      <w:r>
        <w:rPr>
          <w:rFonts w:hint="default" w:ascii="Times New Roman" w:hAnsi="Times New Roman" w:eastAsia="仿宋" w:cs="Times New Roman"/>
          <w:spacing w:val="8"/>
          <w:sz w:val="31"/>
          <w:szCs w:val="31"/>
          <w:lang w:val="en-US" w:eastAsia="zh-CN"/>
        </w:rPr>
        <w:t>（ERP）</w:t>
      </w:r>
      <w:r>
        <w:rPr>
          <w:rFonts w:hint="eastAsia" w:ascii="仿宋" w:hAnsi="仿宋" w:eastAsia="仿宋" w:cs="仿宋"/>
          <w:spacing w:val="8"/>
          <w:sz w:val="31"/>
          <w:szCs w:val="31"/>
          <w:lang w:val="en-US" w:eastAsia="zh-CN"/>
        </w:rPr>
        <w:t>系统和供应链管理软件来跟踪货物流动和库存水平。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随着全球化和电子商务的不断发展，物流行业面临着新的挑战和机遇。因此，物流管理专业的课程内容也会不断更新，以反映市场的最新动态。学生可能会研究如何应对跨国运输中的复杂性，包括不同国家的法律法规、文化差异以及货币汇率变动等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除了理论知识，实践技能也是物流管理专业的重要组成部分。学生可能会参与案例研究、模拟游戏和实习项目，这些活动可以帮助他们将课堂上学到的知识应用到真实的商业环境中。通过这些实践经验，学生能够更好地理解物流管理的实际应用，并培养解决实际问题的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物流管理专业提供强大的分析和决策能力，能够在各种行业制造业、零售业、物流公司、咨询公司甚至政府部门中发挥重要作用。随着物流行业的不断发展，对于专业人才的需求也在持续增长，这使得物流管理专业成为了一个具有广阔前景的领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0" w:leftChars="0" w:firstLine="0" w:firstLineChars="0"/>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培养目标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default" w:ascii="Times New Roman" w:hAnsi="Times New Roman" w:eastAsia="黑体" w:cs="Times New Roman"/>
          <w:spacing w:val="8"/>
          <w:sz w:val="31"/>
          <w:szCs w:val="31"/>
          <w:lang w:val="en-US" w:eastAsia="zh-CN"/>
        </w:rPr>
      </w:pPr>
      <w:r>
        <w:rPr>
          <w:rFonts w:hint="eastAsia" w:ascii="仿宋" w:hAnsi="仿宋" w:eastAsia="仿宋" w:cs="仿宋"/>
          <w:spacing w:val="8"/>
          <w:sz w:val="31"/>
          <w:szCs w:val="31"/>
          <w:lang w:val="en-US" w:eastAsia="zh-CN"/>
        </w:rPr>
        <w:t>本专业培养适应社会需求的德、智、体、美、劳全面发展，树立社会主义核心价值观、具有高度的社会责任感和使命感、良好的科学文化素养和国际视野，系统地掌握物流管理基础理论和方法，具备国际物流和电商物流行业智慧物流系统规划设计、项目实施、运维管理和数据分析能力，具备较强的创新精神、创业意识和一定的创新创业能力，能够在物流管理及相关领域特别是国际物流和电商物流行业从事应用实践、科学研究等工作的应用型物流管理人才。学生毕业5年后，预期应能够进入物流企业策略管理层，成为能对物流系统进行统筹规划、经验丰富的物流管理者</w:t>
      </w:r>
      <w:r>
        <w:rPr>
          <w:rFonts w:hint="default" w:ascii="Times New Roman" w:hAnsi="Times New Roman" w:eastAsia="仿宋" w:cs="Times New Roman"/>
          <w:spacing w:val="8"/>
          <w:sz w:val="31"/>
          <w:szCs w:val="31"/>
          <w:lang w:val="en-US"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0" w:leftChars="0" w:firstLine="0" w:firstLineChars="0"/>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特色与优势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default" w:ascii="黑体" w:hAnsi="黑体" w:eastAsia="黑体" w:cs="黑体"/>
          <w:spacing w:val="8"/>
          <w:sz w:val="31"/>
          <w:szCs w:val="31"/>
          <w:lang w:val="en-US" w:eastAsia="zh-CN"/>
        </w:rPr>
      </w:pPr>
      <w:r>
        <w:rPr>
          <w:rFonts w:hint="eastAsia" w:ascii="仿宋" w:hAnsi="仿宋" w:eastAsia="仿宋" w:cs="仿宋"/>
          <w:spacing w:val="8"/>
          <w:sz w:val="31"/>
          <w:szCs w:val="31"/>
          <w:lang w:val="en-US" w:eastAsia="zh-CN"/>
        </w:rPr>
        <w:t>本专业设置电商物流和国际物流两个专业方向。坚持以“智慧物流”引领专业内涵特色化发展，遵循高等教育规律和人才成长规律，落实立德树人根本任务，强化以学生为中心和成果导向的教育理念，以培养学生的应用能力和实践能力为重点，优化课程设置，加强教学内涵建设；坚持“对接区域产业、服务物流行业”人才培养理念，立足武汉、面向全国、服务区域经济和物流行业；坚持产学研用“四个对接”的高素质应用型人才培养模式，与京东、普罗格等物流企业紧密合作，致力于向社会培养和输送具有“实干精神强、动手能力强、创新创业意识强”、“有理想、有自信”的适应行业需求的应用型智慧物流运营管理人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0" w:leftChars="0" w:firstLine="0" w:firstLineChars="0"/>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教学规范</w:t>
      </w:r>
    </w:p>
    <w:p>
      <w:pPr>
        <w:spacing w:before="157" w:line="228" w:lineRule="auto"/>
        <w:ind w:left="680"/>
        <w:outlineLvl w:val="1"/>
        <w:rPr>
          <w:rFonts w:ascii="仿宋" w:hAnsi="仿宋" w:eastAsia="仿宋" w:cs="仿宋"/>
          <w:sz w:val="31"/>
          <w:szCs w:val="31"/>
        </w:rPr>
      </w:pPr>
      <w:r>
        <w:rPr>
          <w:rFonts w:ascii="仿宋" w:hAnsi="仿宋" w:eastAsia="仿宋" w:cs="仿宋"/>
          <w:spacing w:val="6"/>
          <w:sz w:val="31"/>
          <w:szCs w:val="31"/>
        </w:rPr>
        <w:t>（一）教学计划</w:t>
      </w:r>
    </w:p>
    <w:p>
      <w:pPr>
        <w:spacing w:before="242" w:line="355" w:lineRule="auto"/>
        <w:ind w:left="35" w:right="14" w:firstLine="639"/>
        <w:rPr>
          <w:rFonts w:ascii="仿宋" w:hAnsi="仿宋" w:eastAsia="仿宋" w:cs="仿宋"/>
          <w:sz w:val="31"/>
          <w:szCs w:val="31"/>
        </w:rPr>
      </w:pPr>
      <w:r>
        <w:rPr>
          <w:rFonts w:ascii="仿宋" w:hAnsi="仿宋" w:eastAsia="仿宋" w:cs="仿宋"/>
          <w:spacing w:val="22"/>
          <w:sz w:val="31"/>
          <w:szCs w:val="31"/>
        </w:rPr>
        <w:t>教学计划是学校保证教学质量和人才培养规格的重要</w:t>
      </w:r>
      <w:r>
        <w:rPr>
          <w:rFonts w:ascii="仿宋" w:hAnsi="仿宋" w:eastAsia="仿宋" w:cs="仿宋"/>
          <w:spacing w:val="8"/>
          <w:sz w:val="31"/>
          <w:szCs w:val="31"/>
        </w:rPr>
        <w:t>文件，是组织教学过程、安排教学任务的基本依据，应保持相对稳定，并适时修订。执行过程中如需变动，应有规范的</w:t>
      </w:r>
      <w:r>
        <w:rPr>
          <w:rFonts w:ascii="仿宋" w:hAnsi="仿宋" w:eastAsia="仿宋" w:cs="仿宋"/>
          <w:spacing w:val="5"/>
          <w:sz w:val="31"/>
          <w:szCs w:val="31"/>
        </w:rPr>
        <w:t>论证和审批手续。</w:t>
      </w:r>
    </w:p>
    <w:p>
      <w:pPr>
        <w:spacing w:before="51" w:line="229" w:lineRule="auto"/>
        <w:ind w:left="680"/>
        <w:outlineLvl w:val="1"/>
        <w:rPr>
          <w:rFonts w:ascii="仿宋" w:hAnsi="仿宋" w:eastAsia="仿宋" w:cs="仿宋"/>
          <w:sz w:val="31"/>
          <w:szCs w:val="31"/>
        </w:rPr>
      </w:pPr>
      <w:r>
        <w:rPr>
          <w:rFonts w:ascii="仿宋" w:hAnsi="仿宋" w:eastAsia="仿宋" w:cs="仿宋"/>
          <w:spacing w:val="6"/>
          <w:sz w:val="31"/>
          <w:szCs w:val="31"/>
        </w:rPr>
        <w:t>（二）教学大纲</w:t>
      </w:r>
    </w:p>
    <w:p>
      <w:pPr>
        <w:spacing w:before="243" w:line="365" w:lineRule="auto"/>
        <w:ind w:left="36" w:right="102" w:firstLine="638"/>
        <w:rPr>
          <w:rFonts w:ascii="仿宋" w:hAnsi="仿宋" w:eastAsia="仿宋" w:cs="仿宋"/>
          <w:sz w:val="31"/>
          <w:szCs w:val="31"/>
        </w:rPr>
      </w:pPr>
      <w:r>
        <w:rPr>
          <w:rFonts w:ascii="仿宋" w:hAnsi="仿宋" w:eastAsia="仿宋" w:cs="仿宋"/>
          <w:spacing w:val="8"/>
          <w:sz w:val="31"/>
          <w:szCs w:val="31"/>
        </w:rPr>
        <w:t>教学大纲是实施教学和考核的基本依据，列入教学计划的各门课程或实践教学环节，应在开课前制定科学合理的教学大纲。教学大纲内容视课程性质而定，一般应包括课程性质与简介、先修课程、课时数、各章节知识要点、教材、参考书、教学方法、教学手段和考核方式等。</w:t>
      </w:r>
    </w:p>
    <w:p>
      <w:pPr>
        <w:spacing w:before="51" w:line="229" w:lineRule="auto"/>
        <w:ind w:left="680"/>
        <w:outlineLvl w:val="1"/>
        <w:rPr>
          <w:rFonts w:ascii="仿宋" w:hAnsi="仿宋" w:eastAsia="仿宋" w:cs="仿宋"/>
          <w:sz w:val="31"/>
          <w:szCs w:val="31"/>
        </w:rPr>
      </w:pPr>
      <w:r>
        <w:rPr>
          <w:rFonts w:ascii="仿宋" w:hAnsi="仿宋" w:eastAsia="仿宋" w:cs="仿宋"/>
          <w:spacing w:val="6"/>
          <w:sz w:val="31"/>
          <w:szCs w:val="31"/>
        </w:rPr>
        <w:t>（三）教材选用</w:t>
      </w:r>
    </w:p>
    <w:p>
      <w:pPr>
        <w:spacing w:before="241" w:line="361" w:lineRule="auto"/>
        <w:ind w:left="37" w:firstLine="638"/>
        <w:rPr>
          <w:rFonts w:ascii="仿宋" w:hAnsi="仿宋" w:eastAsia="仿宋" w:cs="仿宋"/>
          <w:sz w:val="31"/>
          <w:szCs w:val="31"/>
        </w:rPr>
      </w:pPr>
      <w:r>
        <w:rPr>
          <w:rFonts w:ascii="仿宋" w:hAnsi="仿宋" w:eastAsia="仿宋" w:cs="仿宋"/>
          <w:spacing w:val="8"/>
          <w:sz w:val="31"/>
          <w:szCs w:val="31"/>
        </w:rPr>
        <w:t>建立完善的教材选用制度，专业基础课程和专业必修课</w:t>
      </w:r>
      <w:r>
        <w:rPr>
          <w:rFonts w:ascii="仿宋" w:hAnsi="仿宋" w:eastAsia="仿宋" w:cs="仿宋"/>
          <w:spacing w:val="-1"/>
          <w:sz w:val="31"/>
          <w:szCs w:val="31"/>
        </w:rPr>
        <w:t>程应优先选用“马克思主义理论研究和建设工程</w:t>
      </w:r>
      <w:r>
        <w:rPr>
          <w:rFonts w:ascii="仿宋" w:hAnsi="仿宋" w:eastAsia="仿宋" w:cs="仿宋"/>
          <w:spacing w:val="-110"/>
          <w:sz w:val="31"/>
          <w:szCs w:val="31"/>
        </w:rPr>
        <w:t xml:space="preserve"> </w:t>
      </w:r>
      <w:r>
        <w:rPr>
          <w:rFonts w:ascii="仿宋" w:hAnsi="仿宋" w:eastAsia="仿宋" w:cs="仿宋"/>
          <w:spacing w:val="-1"/>
          <w:sz w:val="31"/>
          <w:szCs w:val="31"/>
        </w:rPr>
        <w:t>”重</w:t>
      </w:r>
      <w:r>
        <w:rPr>
          <w:rFonts w:ascii="仿宋" w:hAnsi="仿宋" w:eastAsia="仿宋" w:cs="仿宋"/>
          <w:spacing w:val="-2"/>
          <w:sz w:val="31"/>
          <w:szCs w:val="31"/>
        </w:rPr>
        <w:t>点教材、</w:t>
      </w:r>
      <w:r>
        <w:rPr>
          <w:rFonts w:ascii="仿宋" w:hAnsi="仿宋" w:eastAsia="仿宋" w:cs="仿宋"/>
          <w:spacing w:val="8"/>
          <w:sz w:val="31"/>
          <w:szCs w:val="31"/>
        </w:rPr>
        <w:t>国家级精品教材和国家级规划立项教材等优秀教材。</w:t>
      </w:r>
    </w:p>
    <w:p>
      <w:pPr>
        <w:spacing w:before="53" w:line="227" w:lineRule="auto"/>
        <w:ind w:left="680"/>
        <w:outlineLvl w:val="1"/>
        <w:rPr>
          <w:rFonts w:ascii="仿宋" w:hAnsi="仿宋" w:eastAsia="仿宋" w:cs="仿宋"/>
          <w:sz w:val="31"/>
          <w:szCs w:val="31"/>
        </w:rPr>
      </w:pPr>
      <w:r>
        <w:rPr>
          <w:rFonts w:ascii="仿宋" w:hAnsi="仿宋" w:eastAsia="仿宋" w:cs="仿宋"/>
          <w:spacing w:val="6"/>
          <w:sz w:val="31"/>
          <w:szCs w:val="31"/>
        </w:rPr>
        <w:t>（四）课堂教学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课堂教学是教学工作的主要形式。教师在课前须认真备课，编制教学进度表，明确并公布课外辅导与答疑时间。教师在教学中应注重改进教学方法，提倡启发式、互动式、讨论式、案例式和参与式教学等，调动学生参与的积极性；鼓励使用互联网辅助教学、多媒体教学、模拟仿真教学等现代教育技术；坚持教书育人，为人师表，教学规范。教师应适量布置课后作业,并认真反馈意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（五）课外实践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课外实践是课堂教学的延伸，是教学活动的重要组成部分。专业须制订课外实践教学计划，教师应直接参与指导学生课外实践活动。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（六）成绩考核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成绩考核是教学的一个重要环节，应根据课程特点选择恰当的考核方式，考查学生对知识点的掌握和运用能力。成绩考核由平时考核和期末考核组成。</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0" w:leftChars="0" w:firstLine="0" w:firstLineChars="0"/>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毕业要求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本专业学生毕业时应获得以下方面的知识和能力：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1.基础知识：能够将数学、运筹学、经济学、计算机基础、物流管理等知识用于解决复杂物流管理问题。了解国内外物流发展的历程、现状趋势和学科前沿，了解相关政策法规，认识物流业在经济与社会发展中的重要地位和作用。掌握必要的供应链管理理论与方法、物流系统优化理论与运营管理方法、采购管理理论与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2.问题分析：能够应用管理学、经济学和物流管理的基本理论和方法，识别、表达、并通过文献研究分析复杂智慧物流管理领域的问题，以获得有效结论，具备独立获取本专业相关知识的学习能力和较好的智慧物流系统分析问题和解决问题的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3.科学研究：能够基于科学原理并采用科学方法对复杂智慧物流管理问题进行研究，包括设计实验、分析与解释数据、并通过信息综合得到合理有效的结论。具备将所学习的专业理论与知识融会贯通，灵活应用于专业实践之中的基本工作技能，同时具备以创新性思维方法开展科学研究和就业创业实践的创新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4.使用现代工具：能够针对复杂智慧物流管理问题，选择与使用恰当的物流技术、资源、现代工程工具和信息技术工具，包括对复杂问题的预测与模拟，并能够理解其局限性。具备较好的计算机操作能力和英语听、说、读、写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5.社会服务：能够基于物流相关背景知识进行合理分析，评价物流管理、智慧物流系统规划设计等问题解决方案对社会、健康、安全、法律以及文化的影响，并理解应承担的责任。能够理解和评价针对物流实际问题的工程实践对环境、社会可持续发展的影响。牢固树立社会主义核心价值观和正确的世界观、人生观，具有良好的思想品德修养、高度的社会责任感和使命感、良好的科学人文素养和国际视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6.职业规范：具有人文社会科学素养、社会责任感，能够在物流管理实践中理解并遵守工程职业道德和规范，履行责任。具有自主学习和终身学习的意识，有不断学习和适应发展的能力。能够在多学科背景下的团队中承担个体、团队成员以及负责人的角色。</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default" w:ascii="黑体" w:hAnsi="黑体" w:eastAsia="黑体" w:cs="黑体"/>
          <w:spacing w:val="8"/>
          <w:sz w:val="31"/>
          <w:szCs w:val="31"/>
          <w:lang w:val="en-US" w:eastAsia="zh-CN"/>
        </w:rPr>
      </w:pPr>
      <w:r>
        <w:rPr>
          <w:rFonts w:hint="eastAsia" w:ascii="仿宋" w:hAnsi="仿宋" w:eastAsia="仿宋" w:cs="仿宋"/>
          <w:spacing w:val="8"/>
          <w:sz w:val="31"/>
          <w:szCs w:val="31"/>
          <w:lang w:val="en-US" w:eastAsia="zh-CN"/>
        </w:rPr>
        <w:t>7.沟通与协同：能够就智慧物流管理领域及相关行业的复杂问题与业界同行及社会公众进行有效沟通和交流，包括撰写报告和设计文稿、陈述发言、清晰表达或回应指令。并具备良好的沟通能力和一定的跨文化、跨语言交流与合作能力。</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0" w:leftChars="0" w:firstLine="0" w:firstLineChars="0"/>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学制与学位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314" w:firstLineChars="100"/>
        <w:textAlignment w:val="baseline"/>
        <w:outlineLvl w:val="9"/>
        <w:rPr>
          <w:rFonts w:ascii="仿宋" w:hAnsi="仿宋" w:eastAsia="仿宋" w:cs="仿宋"/>
          <w:sz w:val="31"/>
          <w:szCs w:val="31"/>
        </w:rPr>
      </w:pPr>
      <w:r>
        <w:rPr>
          <w:rFonts w:ascii="仿宋" w:hAnsi="仿宋" w:eastAsia="仿宋" w:cs="仿宋"/>
          <w:spacing w:val="2"/>
          <w:sz w:val="31"/>
          <w:szCs w:val="31"/>
        </w:rPr>
        <w:t>学制：基本学制4年，修业年限3～7年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320" w:firstLineChars="100"/>
        <w:textAlignment w:val="baseline"/>
        <w:outlineLvl w:val="9"/>
        <w:rPr>
          <w:rFonts w:hint="default" w:ascii="黑体" w:hAnsi="黑体" w:eastAsia="黑体" w:cs="黑体"/>
          <w:spacing w:val="8"/>
          <w:sz w:val="31"/>
          <w:szCs w:val="31"/>
          <w:lang w:val="en-US" w:eastAsia="zh-CN"/>
        </w:rPr>
      </w:pPr>
      <w:r>
        <w:rPr>
          <w:rFonts w:ascii="仿宋" w:hAnsi="仿宋" w:eastAsia="仿宋" w:cs="仿宋"/>
          <w:spacing w:val="5"/>
          <w:sz w:val="31"/>
          <w:szCs w:val="31"/>
        </w:rPr>
        <w:t>学位：</w:t>
      </w:r>
      <w:r>
        <w:rPr>
          <w:rFonts w:hint="eastAsia" w:ascii="仿宋" w:hAnsi="仿宋" w:eastAsia="仿宋" w:cs="仿宋"/>
          <w:spacing w:val="5"/>
          <w:sz w:val="31"/>
          <w:szCs w:val="31"/>
          <w:lang w:val="en-US" w:eastAsia="zh-CN"/>
        </w:rPr>
        <w:t>管理</w:t>
      </w:r>
      <w:r>
        <w:rPr>
          <w:rFonts w:ascii="仿宋" w:hAnsi="仿宋" w:eastAsia="仿宋" w:cs="仿宋"/>
          <w:spacing w:val="5"/>
          <w:sz w:val="31"/>
          <w:szCs w:val="31"/>
        </w:rPr>
        <w:t>学学士</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0" w:leftChars="0" w:firstLine="0" w:firstLineChars="0"/>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主干学科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default"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主干学科：物流管理与工程类。</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default" w:ascii="黑体" w:hAnsi="黑体" w:eastAsia="黑体" w:cs="黑体"/>
          <w:sz w:val="31"/>
          <w:szCs w:val="31"/>
          <w:lang w:val="en-US" w:eastAsia="zh-CN"/>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师资力量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default"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专任教师一般应具有硕士及以上学位；教师队伍的年龄、职称、学缘结构以及师生比例合理，物流学院物流管理专业教师应该具有以下基本要求：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（1）符合《中华人民共和国教师法》和《中华人民共和国高等教育法》规定的资格和条件，能履行相关义务；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（2）具有物流管理类或相关学科研究生学历；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（3）具有厚实的专业知识，熟悉物流管理教学与学习的理论和方法，对教育学、心理学等相关学科知识有一定了解；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（4）具有扎实的物流专业基本功、教学设计与实施能力、课堂组织与管理能力、现代教育技术和教学手段运用能力、教学反思和改革能力；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（5）具有明确的学术研究方向和科研能力。</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九、主要课程及特色课程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（一）主要课程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专业核心课程：供应链管理、智慧仓储管理、采购管理、运输管理、物流系统工程、智慧物流系统规划与设计、生产运作管理、ERP原理与运用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专业方向课程：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1.国际物流方向：国际物流、国际货运代理实务、国际贸易理论与实务、商务英语函电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2.电商物流方向：物流业务数据统计与分析、电子商务物流配送、网络营销、电子商务技术及应用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（二）特色课程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产教融合课程：智慧物流装备、智慧仓储管理、智慧物流系统规划与设计、国际物流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专创融合课程：创新创业基础、大学生职业规划与就业指导、经管综合仿真实训</w:t>
      </w:r>
    </w:p>
    <w:p>
      <w:pPr>
        <w:keepNext w:val="0"/>
        <w:keepLines w:val="0"/>
        <w:pageBreakBefore w:val="0"/>
        <w:widowControl/>
        <w:kinsoku w:val="0"/>
        <w:wordWrap/>
        <w:overflowPunct/>
        <w:topLinePunct w:val="0"/>
        <w:autoSpaceDE w:val="0"/>
        <w:autoSpaceDN w:val="0"/>
        <w:bidi w:val="0"/>
        <w:adjustRightInd w:val="0"/>
        <w:snapToGrid w:val="0"/>
        <w:spacing w:before="223" w:line="460" w:lineRule="exact"/>
        <w:ind w:left="48" w:firstLine="652" w:firstLineChars="200"/>
        <w:jc w:val="both"/>
        <w:textAlignment w:val="baseline"/>
        <w:rPr>
          <w:rFonts w:hint="eastAsia" w:ascii="仿宋" w:hAnsi="仿宋" w:eastAsia="仿宋" w:cs="仿宋"/>
          <w:spacing w:val="8"/>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before="223" w:line="460" w:lineRule="exact"/>
        <w:ind w:left="48"/>
        <w:textAlignment w:val="baseline"/>
        <w:rPr>
          <w:rFonts w:ascii="仿宋" w:hAnsi="仿宋" w:eastAsia="仿宋" w:cs="仿宋"/>
          <w:sz w:val="31"/>
          <w:szCs w:val="31"/>
          <w:u w:val="none"/>
        </w:rPr>
      </w:pPr>
    </w:p>
    <w:p>
      <w:pPr>
        <w:keepNext w:val="0"/>
        <w:keepLines w:val="0"/>
        <w:pageBreakBefore w:val="0"/>
        <w:widowControl/>
        <w:kinsoku w:val="0"/>
        <w:wordWrap/>
        <w:overflowPunct/>
        <w:topLinePunct w:val="0"/>
        <w:autoSpaceDE w:val="0"/>
        <w:autoSpaceDN w:val="0"/>
        <w:bidi w:val="0"/>
        <w:adjustRightInd w:val="0"/>
        <w:snapToGrid w:val="0"/>
        <w:spacing w:before="162" w:line="460" w:lineRule="exact"/>
        <w:textAlignment w:val="baseline"/>
        <w:outlineLvl w:val="9"/>
        <w:rPr>
          <w:rFonts w:hint="eastAsia" w:ascii="微软雅黑" w:hAnsi="微软雅黑" w:eastAsia="微软雅黑" w:cs="微软雅黑"/>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62" w:line="460" w:lineRule="exact"/>
        <w:textAlignment w:val="baseline"/>
        <w:outlineLvl w:val="9"/>
        <w:rPr>
          <w:rFonts w:hint="eastAsia" w:ascii="微软雅黑" w:hAnsi="微软雅黑" w:eastAsia="微软雅黑" w:cs="微软雅黑"/>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270" w:line="460" w:lineRule="exact"/>
        <w:ind w:right="4725" w:firstLine="630" w:firstLineChars="300"/>
        <w:jc w:val="left"/>
        <w:textAlignment w:val="baseline"/>
        <w:rPr>
          <w:rFonts w:hint="eastAsia" w:eastAsia="宋体"/>
          <w:lang w:val="en-US" w:eastAsia="zh-CN"/>
        </w:rPr>
      </w:pPr>
      <w:bookmarkStart w:id="0" w:name="_GoBack"/>
      <w:bookmarkEnd w:id="0"/>
    </w:p>
    <w:sectPr>
      <w:footerReference r:id="rId5" w:type="default"/>
      <w:pgSz w:w="11906" w:h="16839"/>
      <w:pgMar w:top="1431" w:right="811" w:bottom="1152" w:left="178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08025"/>
    <w:multiLevelType w:val="singleLevel"/>
    <w:tmpl w:val="02D080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ZhNDBmMzAzNDcxNWEyY2ZmNDcyNTFhN2QxMWIzNjQifQ=="/>
  </w:docVars>
  <w:rsids>
    <w:rsidRoot w:val="00000000"/>
    <w:rsid w:val="056C5721"/>
    <w:rsid w:val="0E594F0E"/>
    <w:rsid w:val="20D064E6"/>
    <w:rsid w:val="2558314C"/>
    <w:rsid w:val="26EB042A"/>
    <w:rsid w:val="2ADE1746"/>
    <w:rsid w:val="33412FD9"/>
    <w:rsid w:val="38F14BE1"/>
    <w:rsid w:val="3C4675C6"/>
    <w:rsid w:val="4B5C611B"/>
    <w:rsid w:val="4C0F2405"/>
    <w:rsid w:val="4DFD7181"/>
    <w:rsid w:val="572172AD"/>
    <w:rsid w:val="58C549D8"/>
    <w:rsid w:val="5CCA1A98"/>
    <w:rsid w:val="62D8753A"/>
    <w:rsid w:val="6A275AF9"/>
    <w:rsid w:val="72A56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24951</Words>
  <Characters>25288</Characters>
  <TotalTime>9</TotalTime>
  <ScaleCrop>false</ScaleCrop>
  <LinksUpToDate>false</LinksUpToDate>
  <CharactersWithSpaces>25668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2024-06-18T15:34:00Z</dcterms:created>
  <dc:creator>汐</dc:creator>
  <cp:lastModifiedBy>Charis Lin</cp:lastModifiedBy>
  <dcterms:modified xsi:type="dcterms:W3CDTF">2024-06-23T15:48:57Z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2024-06-18T15:50:24Z</vt:filetime>
  </property>
  <property fmtid="{D5CDD505-2E9C-101B-9397-08002B2CF9AE}" pid="4" name="KSOProductBuildVer">
    <vt:lpwstr>2052-12.1.0.16929</vt:lpwstr>
  </property>
  <property fmtid="{D5CDD505-2E9C-101B-9397-08002B2CF9AE}" pid="5" name="ICV">
    <vt:lpwstr>82E1E4F1D6454B1F8BF22A07AC4B4277_13</vt:lpwstr>
  </property>
</Properties>
</file>